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9DAF6" w14:textId="77777777" w:rsidR="006D333B" w:rsidRDefault="006D333B" w:rsidP="006D333B">
      <w:pPr>
        <w:jc w:val="center"/>
        <w:rPr>
          <w:b/>
          <w:sz w:val="32"/>
          <w:szCs w:val="24"/>
        </w:rPr>
      </w:pPr>
      <w:r>
        <w:rPr>
          <w:b/>
          <w:noProof/>
          <w:sz w:val="32"/>
          <w:szCs w:val="24"/>
          <w:lang w:eastAsia="en-AU"/>
        </w:rPr>
        <w:drawing>
          <wp:inline distT="0" distB="0" distL="0" distR="0" wp14:anchorId="32852D99" wp14:editId="3A330380">
            <wp:extent cx="2160000" cy="54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Q_logo_60m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FA34D" w14:textId="22981E82" w:rsidR="00F74410" w:rsidRDefault="00046A2D" w:rsidP="00F87747">
      <w:pPr>
        <w:jc w:val="center"/>
        <w:rPr>
          <w:b/>
          <w:sz w:val="32"/>
          <w:szCs w:val="24"/>
        </w:rPr>
      </w:pPr>
      <w:r w:rsidRPr="00843459">
        <w:rPr>
          <w:b/>
          <w:sz w:val="32"/>
          <w:szCs w:val="24"/>
        </w:rPr>
        <w:t xml:space="preserve">Expression of Interest </w:t>
      </w:r>
    </w:p>
    <w:p w14:paraId="5481BEA6" w14:textId="69415A14" w:rsidR="00843459" w:rsidRDefault="00927EF0" w:rsidP="00F87747">
      <w:pPr>
        <w:jc w:val="center"/>
        <w:rPr>
          <w:b/>
          <w:sz w:val="32"/>
          <w:szCs w:val="24"/>
        </w:rPr>
      </w:pPr>
      <w:r>
        <w:rPr>
          <w:b/>
          <w:i/>
          <w:sz w:val="32"/>
          <w:szCs w:val="24"/>
        </w:rPr>
        <w:t xml:space="preserve">Queensland Clinical Senate – Health and Wellbeing </w:t>
      </w:r>
      <w:r w:rsidR="0017756A">
        <w:rPr>
          <w:b/>
          <w:i/>
          <w:sz w:val="32"/>
          <w:szCs w:val="24"/>
        </w:rPr>
        <w:t xml:space="preserve">of the workforce </w:t>
      </w:r>
      <w:r>
        <w:rPr>
          <w:b/>
          <w:i/>
          <w:sz w:val="32"/>
          <w:szCs w:val="24"/>
        </w:rPr>
        <w:t xml:space="preserve">Consumer </w:t>
      </w:r>
      <w:r w:rsidR="00506723">
        <w:rPr>
          <w:b/>
          <w:i/>
          <w:sz w:val="32"/>
          <w:szCs w:val="24"/>
        </w:rPr>
        <w:t>Attendance</w:t>
      </w:r>
      <w:r>
        <w:rPr>
          <w:b/>
          <w:i/>
          <w:sz w:val="32"/>
          <w:szCs w:val="24"/>
        </w:rPr>
        <w:t xml:space="preserve"> and Speaking Request </w:t>
      </w:r>
    </w:p>
    <w:p w14:paraId="107BBCE3" w14:textId="19A0AB83" w:rsidR="00E61916" w:rsidRPr="00E61916" w:rsidRDefault="00A52D77" w:rsidP="00C10735">
      <w:pPr>
        <w:ind w:right="-755"/>
        <w:rPr>
          <w:b/>
        </w:rPr>
      </w:pPr>
      <w:r>
        <w:rPr>
          <w:b/>
        </w:rPr>
        <w:t xml:space="preserve">Closing date: </w:t>
      </w:r>
      <w:r w:rsidR="00927EF0">
        <w:rPr>
          <w:b/>
          <w:i/>
        </w:rPr>
        <w:t xml:space="preserve">Wednesday, 1 May 2019 </w:t>
      </w:r>
      <w:r>
        <w:rPr>
          <w:b/>
        </w:rPr>
        <w:t xml:space="preserve"> </w:t>
      </w:r>
    </w:p>
    <w:p w14:paraId="760A12B3" w14:textId="465AD153" w:rsidR="0086713F" w:rsidRPr="0086713F" w:rsidRDefault="00927EF0" w:rsidP="0086713F">
      <w:pPr>
        <w:ind w:right="-755"/>
        <w:rPr>
          <w:rStyle w:val="Hyperlink"/>
          <w:bCs/>
          <w:i/>
          <w:color w:val="9B1D54"/>
          <w:sz w:val="28"/>
          <w:szCs w:val="28"/>
          <w:u w:val="none"/>
        </w:rPr>
      </w:pPr>
      <w:r>
        <w:rPr>
          <w:rStyle w:val="Hyperlink"/>
          <w:bCs/>
          <w:i/>
          <w:color w:val="9B1D54"/>
          <w:sz w:val="28"/>
          <w:szCs w:val="28"/>
          <w:u w:val="none"/>
        </w:rPr>
        <w:t>Queensland Clinical Senate</w:t>
      </w:r>
    </w:p>
    <w:p w14:paraId="0F5C7C59" w14:textId="020462AA" w:rsidR="00927EF0" w:rsidRPr="00927EF0" w:rsidRDefault="00927EF0" w:rsidP="00927EF0">
      <w:pPr>
        <w:ind w:right="-755"/>
      </w:pPr>
      <w:r w:rsidRPr="00927EF0">
        <w:t>The Queensland Clinical Senate</w:t>
      </w:r>
      <w:r>
        <w:t xml:space="preserve"> (QCS)</w:t>
      </w:r>
      <w:r w:rsidRPr="00927EF0">
        <w:t xml:space="preserve"> represents clinicians from across the health system and provides strategic advice and leadership on system-wide issues affecting the quality, affordability and efficient delivery of patient care within Queensland. </w:t>
      </w:r>
      <w:r>
        <w:t>QCS</w:t>
      </w:r>
      <w:r w:rsidRPr="00927EF0">
        <w:t xml:space="preserve"> connect</w:t>
      </w:r>
      <w:r>
        <w:t>s</w:t>
      </w:r>
      <w:r w:rsidRPr="00927EF0">
        <w:t xml:space="preserve"> clinicians to improve care.</w:t>
      </w:r>
    </w:p>
    <w:p w14:paraId="2AA22913" w14:textId="744B00A1" w:rsidR="00927EF0" w:rsidRPr="00927EF0" w:rsidRDefault="00927EF0" w:rsidP="00927EF0">
      <w:pPr>
        <w:ind w:right="-755"/>
      </w:pPr>
      <w:r>
        <w:t>QCS</w:t>
      </w:r>
      <w:r w:rsidRPr="00927EF0">
        <w:t xml:space="preserve"> provide a structured forum for clinician and stakeholder consultation and communication on matters of strategic importance. </w:t>
      </w:r>
      <w:r>
        <w:t>They</w:t>
      </w:r>
      <w:r w:rsidRPr="00927EF0">
        <w:t xml:space="preserve"> discuss, consult, examine the evidence, consider and formulate practical innovative recommendations in the context of clinical and operational best practice.</w:t>
      </w:r>
    </w:p>
    <w:p w14:paraId="3E07819E" w14:textId="603DC096" w:rsidR="00927EF0" w:rsidRDefault="00927EF0" w:rsidP="00927EF0">
      <w:pPr>
        <w:ind w:right="-755"/>
      </w:pPr>
      <w:r>
        <w:t>C</w:t>
      </w:r>
      <w:r w:rsidRPr="00927EF0">
        <w:t>linical leadership</w:t>
      </w:r>
      <w:r>
        <w:t xml:space="preserve"> is provided</w:t>
      </w:r>
      <w:r w:rsidRPr="00927EF0">
        <w:t xml:space="preserve"> by developing strategies to safeguard and promote the delivery of high quality, safe and sustainable patient care.</w:t>
      </w:r>
    </w:p>
    <w:p w14:paraId="5CAE2089" w14:textId="0B29ABA1" w:rsidR="00927EF0" w:rsidRPr="00927EF0" w:rsidRDefault="00927EF0" w:rsidP="00927EF0">
      <w:pPr>
        <w:ind w:right="-755"/>
      </w:pPr>
      <w:r>
        <w:rPr>
          <w:rStyle w:val="Hyperlink"/>
          <w:bCs/>
          <w:i/>
          <w:color w:val="9B1D54"/>
          <w:sz w:val="28"/>
          <w:szCs w:val="28"/>
          <w:u w:val="none"/>
        </w:rPr>
        <w:t xml:space="preserve">Health and Wellbeing </w:t>
      </w:r>
      <w:r w:rsidR="001A5911">
        <w:rPr>
          <w:rStyle w:val="Hyperlink"/>
          <w:bCs/>
          <w:i/>
          <w:color w:val="9B1D54"/>
          <w:sz w:val="28"/>
          <w:szCs w:val="28"/>
          <w:u w:val="none"/>
        </w:rPr>
        <w:t xml:space="preserve">of the Workforce </w:t>
      </w:r>
    </w:p>
    <w:p w14:paraId="69BECC14" w14:textId="1B579F5E" w:rsidR="00BD41AA" w:rsidRDefault="00BD41AA" w:rsidP="00DE2186">
      <w:pPr>
        <w:ind w:right="-755"/>
      </w:pPr>
      <w:r>
        <w:t>Wellness and Performance - do you understand the links between staff wellness and patient care? What stops clinicians from doing their job well? How do we overcome these challenges?</w:t>
      </w:r>
    </w:p>
    <w:p w14:paraId="4FDA4C3B" w14:textId="77777777" w:rsidR="00BD41AA" w:rsidRDefault="00BD41AA" w:rsidP="00BD41AA">
      <w:r>
        <w:t>Research shows that:</w:t>
      </w:r>
    </w:p>
    <w:p w14:paraId="04AB50B9" w14:textId="2C7A9CB8" w:rsidR="00BD41AA" w:rsidRDefault="00BD41AA" w:rsidP="00BD41AA">
      <w:pPr>
        <w:pStyle w:val="ListParagraph"/>
        <w:ind w:left="426" w:hanging="360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 xml:space="preserve">         </w:t>
      </w:r>
      <w:r>
        <w:rPr>
          <w:lang w:val="en-US"/>
        </w:rPr>
        <w:t>the health and wellbeing of the clinical workforce is inextricably linked to patient outcomes</w:t>
      </w:r>
    </w:p>
    <w:p w14:paraId="3B448227" w14:textId="77777777" w:rsidR="00BD41AA" w:rsidRDefault="00BD41AA" w:rsidP="00BD41AA">
      <w:pPr>
        <w:pStyle w:val="ListParagraph"/>
        <w:ind w:left="426" w:hanging="360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 xml:space="preserve">         </w:t>
      </w:r>
      <w:r>
        <w:rPr>
          <w:lang w:val="en-US"/>
        </w:rPr>
        <w:t>healthcare professionals report higher levels of distress, dissatisfaction and sick days compared with other sectors.</w:t>
      </w:r>
      <w:r>
        <w:rPr>
          <w:vertAlign w:val="superscript"/>
          <w:lang w:val="en-US"/>
        </w:rPr>
        <w:t>1</w:t>
      </w:r>
    </w:p>
    <w:p w14:paraId="6EA7309C" w14:textId="06C9AF4E" w:rsidR="00BD41AA" w:rsidRDefault="00F4319F" w:rsidP="00BD41AA">
      <w:r>
        <w:t>C</w:t>
      </w:r>
      <w:r w:rsidR="00BD41AA">
        <w:t xml:space="preserve">linicians, consumers and system managers from across Queensland </w:t>
      </w:r>
      <w:r>
        <w:t xml:space="preserve">will gather </w:t>
      </w:r>
      <w:r w:rsidR="00BD41AA">
        <w:t>to discuss the issues and possible solutions to a healthier, safer and more productive workforce.</w:t>
      </w:r>
    </w:p>
    <w:p w14:paraId="35906CC6" w14:textId="77777777" w:rsidR="00BD41AA" w:rsidRDefault="00BD41AA" w:rsidP="00BD41A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1.</w:t>
      </w:r>
      <w:r>
        <w:rPr>
          <w:rFonts w:ascii="Cambria" w:hAnsi="Cambria"/>
          <w:b/>
          <w:bCs/>
          <w:sz w:val="18"/>
          <w:szCs w:val="18"/>
        </w:rPr>
        <w:t xml:space="preserve"> </w:t>
      </w:r>
      <w:r>
        <w:rPr>
          <w:rFonts w:ascii="Cambria" w:hAnsi="Cambria"/>
          <w:color w:val="303030"/>
          <w:sz w:val="18"/>
          <w:szCs w:val="18"/>
          <w:shd w:val="clear" w:color="auto" w:fill="FFFFFF"/>
        </w:rPr>
        <w:t>Brand, Sarah L et al. “Whole-system approaches to improving the health and wellbeing of healthcare workers: A systematic review” </w:t>
      </w:r>
      <w:r>
        <w:rPr>
          <w:rFonts w:ascii="Cambria" w:hAnsi="Cambria"/>
          <w:i/>
          <w:iCs/>
          <w:color w:val="303030"/>
          <w:sz w:val="18"/>
          <w:szCs w:val="18"/>
          <w:shd w:val="clear" w:color="auto" w:fill="FFFFFF"/>
        </w:rPr>
        <w:t>PloS one</w:t>
      </w:r>
      <w:r>
        <w:rPr>
          <w:rFonts w:ascii="Cambria" w:hAnsi="Cambria"/>
          <w:color w:val="303030"/>
          <w:sz w:val="18"/>
          <w:szCs w:val="18"/>
          <w:shd w:val="clear" w:color="auto" w:fill="FFFFFF"/>
        </w:rPr>
        <w:t> vol. 12,12 e0188418. 4 Dec. 2017, doi: 10.1371/journal.pone.0188418</w:t>
      </w:r>
    </w:p>
    <w:p w14:paraId="358D7DE4" w14:textId="77777777" w:rsidR="0053580D" w:rsidRPr="0053580D" w:rsidRDefault="0053580D" w:rsidP="00DE2186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53580D">
        <w:rPr>
          <w:rStyle w:val="Hyperlink"/>
          <w:bCs/>
          <w:color w:val="9B1D54"/>
          <w:sz w:val="28"/>
          <w:szCs w:val="28"/>
          <w:u w:val="none"/>
        </w:rPr>
        <w:t>Role of the consumer</w:t>
      </w:r>
    </w:p>
    <w:p w14:paraId="7A2E0875" w14:textId="12541673" w:rsidR="003A54AF" w:rsidRDefault="003A54AF" w:rsidP="00DE2186">
      <w:pPr>
        <w:ind w:right="-755"/>
      </w:pPr>
      <w:r>
        <w:t xml:space="preserve">The Queensland Clinical Senate </w:t>
      </w:r>
      <w:r w:rsidR="001104B4">
        <w:t xml:space="preserve">is </w:t>
      </w:r>
      <w:r>
        <w:t xml:space="preserve">looking to support 3 – 4 consumers to attend the </w:t>
      </w:r>
      <w:r w:rsidR="009623A5">
        <w:t>2-day</w:t>
      </w:r>
      <w:r w:rsidR="00506723">
        <w:t xml:space="preserve"> forum starting Thursday the 9</w:t>
      </w:r>
      <w:r w:rsidR="00506723" w:rsidRPr="00506723">
        <w:rPr>
          <w:vertAlign w:val="superscript"/>
        </w:rPr>
        <w:t>th</w:t>
      </w:r>
      <w:r w:rsidR="00506723">
        <w:t xml:space="preserve"> of May in the evening and a full day on</w:t>
      </w:r>
      <w:r>
        <w:t xml:space="preserve"> Friday the 10</w:t>
      </w:r>
      <w:r w:rsidRPr="003A54AF">
        <w:rPr>
          <w:vertAlign w:val="superscript"/>
        </w:rPr>
        <w:t>th</w:t>
      </w:r>
      <w:r>
        <w:t xml:space="preserve"> of May. There </w:t>
      </w:r>
      <w:r w:rsidR="00BD41AA">
        <w:t>is one</w:t>
      </w:r>
      <w:r>
        <w:t xml:space="preserve"> speaking opportunit</w:t>
      </w:r>
      <w:r w:rsidR="00BD41AA">
        <w:t>y</w:t>
      </w:r>
      <w:r>
        <w:t xml:space="preserve"> available in the form of </w:t>
      </w:r>
      <w:r w:rsidR="00BD41AA">
        <w:t xml:space="preserve">a </w:t>
      </w:r>
      <w:r>
        <w:t xml:space="preserve">panel discussion. </w:t>
      </w:r>
    </w:p>
    <w:p w14:paraId="3D7FE631" w14:textId="5FC44855" w:rsidR="00506723" w:rsidRDefault="00E6738D">
      <w:pPr>
        <w:ind w:right="-755"/>
      </w:pPr>
      <w:r>
        <w:t xml:space="preserve">The panel presentation </w:t>
      </w:r>
      <w:r w:rsidR="00BD41AA">
        <w:t xml:space="preserve">will be about </w:t>
      </w:r>
      <w:r>
        <w:t xml:space="preserve">“Extreme </w:t>
      </w:r>
      <w:r w:rsidR="0017756A">
        <w:t>Wellbeing</w:t>
      </w:r>
      <w:r>
        <w:t xml:space="preserve">”. This </w:t>
      </w:r>
      <w:r w:rsidR="0017756A">
        <w:t xml:space="preserve">session </w:t>
      </w:r>
      <w:r>
        <w:t xml:space="preserve">will delve into the struggles and challenges of </w:t>
      </w:r>
      <w:r w:rsidR="0017756A">
        <w:t>continuing to provide healthcare during extreme events (both natural</w:t>
      </w:r>
      <w:r w:rsidR="00C51E49">
        <w:t>, e.g. cyclones, floods, etc.</w:t>
      </w:r>
      <w:r w:rsidR="0017756A">
        <w:t xml:space="preserve"> and </w:t>
      </w:r>
      <w:r w:rsidR="001A5911">
        <w:t>other mass casualty events</w:t>
      </w:r>
      <w:r w:rsidR="0017756A">
        <w:t>)</w:t>
      </w:r>
      <w:r w:rsidR="001104B4">
        <w:t xml:space="preserve"> that significantly impact on a community, when </w:t>
      </w:r>
      <w:r w:rsidR="009826A2">
        <w:t xml:space="preserve">the </w:t>
      </w:r>
      <w:r w:rsidR="00BD41AA">
        <w:t>clinician</w:t>
      </w:r>
      <w:r w:rsidR="00C51E49">
        <w:t xml:space="preserve"> </w:t>
      </w:r>
      <w:r w:rsidR="009826A2">
        <w:t xml:space="preserve">themselves is </w:t>
      </w:r>
      <w:r w:rsidR="001104B4">
        <w:t>part of t</w:t>
      </w:r>
      <w:r w:rsidR="00C51E49">
        <w:t>hat community</w:t>
      </w:r>
      <w:r w:rsidR="001104B4">
        <w:t>.</w:t>
      </w:r>
      <w:r w:rsidR="001104B4" w:rsidDel="001104B4">
        <w:t xml:space="preserve"> </w:t>
      </w:r>
      <w:r>
        <w:t xml:space="preserve"> Panel members are to be confirmed, however the consumer perspective will ideally be around </w:t>
      </w:r>
      <w:r w:rsidR="001104B4">
        <w:t xml:space="preserve">how they perceive the </w:t>
      </w:r>
      <w:r w:rsidR="009826A2">
        <w:t xml:space="preserve">importance of clinician wellbeing </w:t>
      </w:r>
      <w:r w:rsidR="001104B4">
        <w:t xml:space="preserve">in </w:t>
      </w:r>
      <w:r w:rsidR="009826A2">
        <w:t>providing</w:t>
      </w:r>
      <w:r w:rsidR="001104B4">
        <w:t xml:space="preserve"> the standard of care expected by the community</w:t>
      </w:r>
      <w:r w:rsidR="001A5911">
        <w:t>. T</w:t>
      </w:r>
      <w:r w:rsidR="001104B4">
        <w:t xml:space="preserve">he meeting </w:t>
      </w:r>
      <w:r w:rsidR="00506723">
        <w:t xml:space="preserve">will link back to how the wellbeing of clinicians impacts on quality and safety of care. </w:t>
      </w:r>
    </w:p>
    <w:p w14:paraId="1BC1D898" w14:textId="01E559CE" w:rsidR="001104B4" w:rsidRPr="003A54AF" w:rsidRDefault="001104B4" w:rsidP="00DE2186">
      <w:pPr>
        <w:ind w:right="-755"/>
      </w:pPr>
      <w:r>
        <w:t xml:space="preserve">There will be several tablework sessions on Friday where the input of consumer </w:t>
      </w:r>
      <w:r w:rsidR="00BD41AA">
        <w:t xml:space="preserve">representatives around the wellbeing of clinicians </w:t>
      </w:r>
      <w:r>
        <w:t>will be vital in ensuring well-rounded responses are developed.</w:t>
      </w:r>
    </w:p>
    <w:p w14:paraId="2F1B40C8" w14:textId="77777777" w:rsidR="006910BD" w:rsidRPr="00F22F52" w:rsidRDefault="006910BD" w:rsidP="006910BD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F22F52">
        <w:rPr>
          <w:rStyle w:val="Hyperlink"/>
          <w:bCs/>
          <w:color w:val="9B1D54"/>
          <w:sz w:val="28"/>
          <w:szCs w:val="28"/>
          <w:u w:val="none"/>
        </w:rPr>
        <w:t>Who is it for?</w:t>
      </w:r>
    </w:p>
    <w:p w14:paraId="129539B4" w14:textId="5A4475EF" w:rsidR="00C0024A" w:rsidRDefault="00506723" w:rsidP="00C0024A">
      <w:pPr>
        <w:ind w:right="-755"/>
      </w:pPr>
      <w:r>
        <w:lastRenderedPageBreak/>
        <w:t>Please indicate on the expression of interest form below if you are interested in attending as a consumer guest and/or member of the panel discussion.</w:t>
      </w:r>
    </w:p>
    <w:p w14:paraId="49D3A9EE" w14:textId="13E46701" w:rsidR="00506723" w:rsidRDefault="00506723" w:rsidP="00C0024A">
      <w:pPr>
        <w:ind w:right="-755"/>
      </w:pPr>
      <w:r>
        <w:t xml:space="preserve">For those who are interested in participating in the panel </w:t>
      </w:r>
      <w:r w:rsidR="001104B4">
        <w:t>discussion</w:t>
      </w:r>
      <w:r>
        <w:t xml:space="preserve">, the ideal candidate will have some experiencing </w:t>
      </w:r>
      <w:r w:rsidR="001104B4">
        <w:t xml:space="preserve">talking in front of </w:t>
      </w:r>
      <w:r>
        <w:t>large audience</w:t>
      </w:r>
      <w:r w:rsidR="001104B4">
        <w:t>s</w:t>
      </w:r>
      <w:r>
        <w:t xml:space="preserve">. It’s important </w:t>
      </w:r>
      <w:r w:rsidR="001104B4">
        <w:t>that</w:t>
      </w:r>
      <w:r>
        <w:t xml:space="preserve"> the successful consumer </w:t>
      </w:r>
      <w:r w:rsidR="001104B4">
        <w:t xml:space="preserve">is </w:t>
      </w:r>
      <w:r>
        <w:t xml:space="preserve">confident and comfortable </w:t>
      </w:r>
      <w:r w:rsidR="001104B4">
        <w:t xml:space="preserve">publicly </w:t>
      </w:r>
      <w:r w:rsidR="00B26094">
        <w:t>liaising</w:t>
      </w:r>
      <w:r>
        <w:t xml:space="preserve"> with senior clinicians and executive staff throughout the </w:t>
      </w:r>
      <w:r w:rsidR="00BD41AA">
        <w:t>tablework sessions</w:t>
      </w:r>
      <w:r>
        <w:t xml:space="preserve">. </w:t>
      </w:r>
    </w:p>
    <w:p w14:paraId="28ECD9C4" w14:textId="6EACFAEE" w:rsidR="00B26094" w:rsidRDefault="00B26094" w:rsidP="00C0024A">
      <w:pPr>
        <w:ind w:right="-755"/>
      </w:pPr>
      <w:r>
        <w:t xml:space="preserve">It would be preferred and strongly encouraged that one of the successful consumers </w:t>
      </w:r>
      <w:r w:rsidR="00BD41AA">
        <w:t xml:space="preserve">is </w:t>
      </w:r>
      <w:r>
        <w:t xml:space="preserve">able to demonstrate experience living in an area impacted by </w:t>
      </w:r>
      <w:r w:rsidR="001104B4">
        <w:t xml:space="preserve">natural or man-made </w:t>
      </w:r>
      <w:r>
        <w:t xml:space="preserve">extreme events. </w:t>
      </w:r>
    </w:p>
    <w:p w14:paraId="3AFE7D72" w14:textId="72A8E5E0" w:rsidR="00B26094" w:rsidRPr="00506723" w:rsidRDefault="00B26094" w:rsidP="00C0024A">
      <w:pPr>
        <w:ind w:right="-755"/>
        <w:rPr>
          <w:i/>
        </w:rPr>
      </w:pPr>
      <w:r>
        <w:t>Should you wish to attend as</w:t>
      </w:r>
      <w:r w:rsidR="00FD7EAF">
        <w:t xml:space="preserve"> a</w:t>
      </w:r>
      <w:r>
        <w:t xml:space="preserve"> consumer representative and not a panel speaker, you should have a keen interest in the health and wellbeing of clinical staff, and from a consumer perspective, how that impacts the delivery of high quality healthcare.  </w:t>
      </w:r>
    </w:p>
    <w:p w14:paraId="2E6B703A" w14:textId="447CC796" w:rsidR="006910BD" w:rsidRPr="00F22F52" w:rsidRDefault="006910BD" w:rsidP="006910BD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F22F52">
        <w:rPr>
          <w:rStyle w:val="Hyperlink"/>
          <w:bCs/>
          <w:color w:val="9B1D54"/>
          <w:sz w:val="28"/>
          <w:szCs w:val="28"/>
          <w:u w:val="none"/>
        </w:rPr>
        <w:t>Time and location</w:t>
      </w:r>
    </w:p>
    <w:p w14:paraId="7484BC9D" w14:textId="64A6AEBB" w:rsidR="00C10735" w:rsidRDefault="007C59DE" w:rsidP="00DD0F98">
      <w:r w:rsidRPr="007C59DE">
        <w:t>The foru</w:t>
      </w:r>
      <w:r w:rsidR="003A2D97">
        <w:t>m will take place over two days. Event details</w:t>
      </w:r>
      <w:r w:rsidR="00FD7EAF">
        <w:t>:</w:t>
      </w:r>
      <w:r w:rsidR="00635743">
        <w:t xml:space="preserve"> </w:t>
      </w:r>
    </w:p>
    <w:p w14:paraId="4F585788" w14:textId="297EB681" w:rsidR="003A2D97" w:rsidRPr="00635743" w:rsidRDefault="00635743" w:rsidP="00DD0F98">
      <w:pPr>
        <w:rPr>
          <w:b/>
          <w:u w:val="single"/>
        </w:rPr>
      </w:pPr>
      <w:r w:rsidRPr="00635743">
        <w:rPr>
          <w:b/>
          <w:u w:val="single"/>
        </w:rPr>
        <w:t>Thursday, 9 May 2019</w:t>
      </w:r>
    </w:p>
    <w:p w14:paraId="3FFEDB12" w14:textId="5D32BBD8" w:rsidR="003A2D97" w:rsidRDefault="003A2D97" w:rsidP="00DD0F98">
      <w:r>
        <w:t>T</w:t>
      </w:r>
      <w:bookmarkStart w:id="0" w:name="_Hlk5720572"/>
      <w:r>
        <w:t>he Pullman Hotel, Corner of Ann and Roma Streets, Brisbane City.</w:t>
      </w:r>
      <w:bookmarkEnd w:id="0"/>
      <w:r>
        <w:t xml:space="preserve"> </w:t>
      </w:r>
    </w:p>
    <w:p w14:paraId="74FB82BE" w14:textId="35C461A1" w:rsidR="003A2D97" w:rsidRDefault="003A2D97" w:rsidP="00DD0F98">
      <w:r>
        <w:t xml:space="preserve">5pm </w:t>
      </w:r>
      <w:r w:rsidR="00635743">
        <w:t>–</w:t>
      </w:r>
      <w:r>
        <w:t xml:space="preserve"> </w:t>
      </w:r>
      <w:r w:rsidR="00635743">
        <w:t xml:space="preserve">8.45pm </w:t>
      </w:r>
    </w:p>
    <w:p w14:paraId="49E22678" w14:textId="17C4EDCA" w:rsidR="00635743" w:rsidRPr="00635743" w:rsidRDefault="00635743" w:rsidP="00DD0F98">
      <w:pPr>
        <w:rPr>
          <w:b/>
          <w:u w:val="single"/>
        </w:rPr>
      </w:pPr>
      <w:r w:rsidRPr="00635743">
        <w:rPr>
          <w:b/>
          <w:u w:val="single"/>
        </w:rPr>
        <w:t xml:space="preserve">Friday 10 May 2019 </w:t>
      </w:r>
    </w:p>
    <w:p w14:paraId="0E616344" w14:textId="65396C6E" w:rsidR="001104B4" w:rsidRDefault="001104B4" w:rsidP="00DD0F98">
      <w:r>
        <w:t>The Pullman Hotel, Corner of Ann and Roma Streets, Brisbane City.</w:t>
      </w:r>
    </w:p>
    <w:p w14:paraId="114CE5A9" w14:textId="180B2F2E" w:rsidR="00635743" w:rsidRDefault="00635743" w:rsidP="00DD0F98">
      <w:r>
        <w:t xml:space="preserve">8am – </w:t>
      </w:r>
      <w:r w:rsidR="001104B4">
        <w:t>3</w:t>
      </w:r>
      <w:r>
        <w:t xml:space="preserve">pm. </w:t>
      </w:r>
    </w:p>
    <w:p w14:paraId="2344BDF6" w14:textId="77777777" w:rsidR="006910BD" w:rsidRPr="00F22F52" w:rsidRDefault="006910BD" w:rsidP="006910BD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F22F52">
        <w:rPr>
          <w:rStyle w:val="Hyperlink"/>
          <w:bCs/>
          <w:color w:val="9B1D54"/>
          <w:sz w:val="28"/>
          <w:szCs w:val="28"/>
          <w:u w:val="none"/>
        </w:rPr>
        <w:t>Remuneration</w:t>
      </w:r>
      <w:r w:rsidR="00747245">
        <w:rPr>
          <w:rStyle w:val="Hyperlink"/>
          <w:bCs/>
          <w:color w:val="9B1D54"/>
          <w:sz w:val="28"/>
          <w:szCs w:val="28"/>
          <w:u w:val="none"/>
        </w:rPr>
        <w:t xml:space="preserve"> and Support</w:t>
      </w:r>
    </w:p>
    <w:p w14:paraId="64DC88EB" w14:textId="001DAF63" w:rsidR="000722C0" w:rsidRPr="000E75AA" w:rsidRDefault="00D75F4B" w:rsidP="000722C0">
      <w:r w:rsidRPr="000E75AA">
        <w:t xml:space="preserve">Consumers will be remunerated at the </w:t>
      </w:r>
      <w:r w:rsidR="00650394" w:rsidRPr="000E75AA">
        <w:t>half day rate of $187</w:t>
      </w:r>
      <w:r w:rsidR="00FD7EAF" w:rsidRPr="000E75AA">
        <w:t xml:space="preserve"> </w:t>
      </w:r>
      <w:r w:rsidR="00650394" w:rsidRPr="000E75AA">
        <w:t>for day one, and the full day rate of $374 for day 2</w:t>
      </w:r>
      <w:r w:rsidRPr="000E75AA">
        <w:t xml:space="preserve">, </w:t>
      </w:r>
      <w:r w:rsidR="00650394" w:rsidRPr="000E75AA">
        <w:t xml:space="preserve">regardless whether you are speaking or not. </w:t>
      </w:r>
      <w:r w:rsidRPr="000E75AA">
        <w:t xml:space="preserve"> </w:t>
      </w:r>
    </w:p>
    <w:p w14:paraId="4C3AD7B1" w14:textId="3762945A" w:rsidR="00747245" w:rsidRDefault="00D75F4B" w:rsidP="00DD0F98">
      <w:r w:rsidRPr="000E75AA">
        <w:t>Consumers</w:t>
      </w:r>
      <w:r w:rsidR="00650394" w:rsidRPr="000E75AA">
        <w:t xml:space="preserve"> who live outside of South-East Queensland</w:t>
      </w:r>
      <w:r w:rsidRPr="000E75AA">
        <w:t xml:space="preserve"> </w:t>
      </w:r>
      <w:r w:rsidR="00650394" w:rsidRPr="000E75AA">
        <w:t>will have their</w:t>
      </w:r>
      <w:r w:rsidRPr="000E75AA">
        <w:t xml:space="preserve"> flights and accommodation covered. </w:t>
      </w:r>
      <w:bookmarkStart w:id="1" w:name="_GoBack"/>
      <w:bookmarkEnd w:id="1"/>
    </w:p>
    <w:p w14:paraId="0871741A" w14:textId="77777777" w:rsidR="006910BD" w:rsidRPr="00F22F52" w:rsidRDefault="006910BD" w:rsidP="006910BD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F22F52">
        <w:rPr>
          <w:rStyle w:val="Hyperlink"/>
          <w:bCs/>
          <w:color w:val="9B1D54"/>
          <w:sz w:val="28"/>
          <w:szCs w:val="28"/>
          <w:u w:val="none"/>
        </w:rPr>
        <w:t>How to apply</w:t>
      </w:r>
    </w:p>
    <w:p w14:paraId="037FB1E9" w14:textId="57E3F7AD" w:rsidR="00B946A9" w:rsidRPr="00624D12" w:rsidRDefault="00C10735" w:rsidP="00DD0F98">
      <w:pPr>
        <w:rPr>
          <w:b/>
        </w:rPr>
      </w:pPr>
      <w:r w:rsidRPr="00624D12">
        <w:rPr>
          <w:b/>
        </w:rPr>
        <w:t>Please complete this Expression of Interest and return to</w:t>
      </w:r>
      <w:r w:rsidR="00B946A9" w:rsidRPr="00624D12">
        <w:rPr>
          <w:b/>
        </w:rPr>
        <w:t xml:space="preserve"> </w:t>
      </w:r>
      <w:r w:rsidR="00693A5D">
        <w:rPr>
          <w:b/>
          <w:i/>
        </w:rPr>
        <w:t>Health Consumers Queensland</w:t>
      </w:r>
      <w:r w:rsidR="006D333B" w:rsidRPr="001D3C7E">
        <w:rPr>
          <w:b/>
          <w:i/>
        </w:rPr>
        <w:t xml:space="preserve"> </w:t>
      </w:r>
      <w:r w:rsidR="006D333B" w:rsidRPr="00624D12">
        <w:rPr>
          <w:b/>
        </w:rPr>
        <w:t>via</w:t>
      </w:r>
      <w:r w:rsidR="00693A5D">
        <w:rPr>
          <w:b/>
        </w:rPr>
        <w:t xml:space="preserve"> consumer@hcq.org.au</w:t>
      </w:r>
      <w:r w:rsidR="00B946A9" w:rsidRPr="001D3C7E">
        <w:rPr>
          <w:b/>
          <w:i/>
        </w:rPr>
        <w:t>.</w:t>
      </w:r>
      <w:r w:rsidR="00624D12" w:rsidRPr="00624D12">
        <w:rPr>
          <w:b/>
        </w:rPr>
        <w:t xml:space="preserve"> </w:t>
      </w:r>
      <w:r w:rsidR="00624D12" w:rsidRPr="00FD4F29">
        <w:t>For assistance completing this Expression of Interest, please contact</w:t>
      </w:r>
      <w:r w:rsidR="00693A5D">
        <w:t xml:space="preserve"> Michael Taylor</w:t>
      </w:r>
      <w:r w:rsidR="00624D12" w:rsidRPr="00FD4F29">
        <w:t xml:space="preserve"> </w:t>
      </w:r>
      <w:r w:rsidR="00624D12" w:rsidRPr="001D3C7E">
        <w:rPr>
          <w:i/>
        </w:rPr>
        <w:t>via</w:t>
      </w:r>
      <w:r w:rsidR="00693A5D">
        <w:rPr>
          <w:i/>
        </w:rPr>
        <w:t xml:space="preserve"> </w:t>
      </w:r>
      <w:hyperlink r:id="rId8" w:history="1">
        <w:r w:rsidR="00693A5D" w:rsidRPr="00611F69">
          <w:rPr>
            <w:rStyle w:val="Hyperlink"/>
            <w:i/>
          </w:rPr>
          <w:t>michael.taylor@hcq.org.au</w:t>
        </w:r>
      </w:hyperlink>
      <w:r w:rsidR="00693A5D">
        <w:rPr>
          <w:i/>
        </w:rPr>
        <w:t xml:space="preserve"> </w:t>
      </w:r>
      <w:r w:rsidR="00624D12" w:rsidRPr="00FD4F29">
        <w:t xml:space="preserve">or by phone on </w:t>
      </w:r>
      <w:r w:rsidR="00693A5D">
        <w:rPr>
          <w:i/>
        </w:rPr>
        <w:t>07 3012 9090</w:t>
      </w:r>
      <w:r w:rsidR="00624D12" w:rsidRPr="001D3C7E">
        <w:rPr>
          <w:i/>
        </w:rPr>
        <w:t>.</w:t>
      </w:r>
    </w:p>
    <w:p w14:paraId="14F63E68" w14:textId="44213E14" w:rsidR="005960BC" w:rsidRDefault="005960BC"/>
    <w:p w14:paraId="37EA91A8" w14:textId="3CE2BE36" w:rsidR="00D91C15" w:rsidRDefault="00D91C15"/>
    <w:p w14:paraId="4D49C2DD" w14:textId="77777777" w:rsidR="00FD7EAF" w:rsidRDefault="00FD7EAF">
      <w:pPr>
        <w:rPr>
          <w:b/>
          <w:sz w:val="32"/>
          <w:szCs w:val="24"/>
        </w:rPr>
      </w:pPr>
      <w:r>
        <w:rPr>
          <w:b/>
          <w:sz w:val="32"/>
          <w:szCs w:val="24"/>
        </w:rPr>
        <w:br w:type="page"/>
      </w:r>
    </w:p>
    <w:p w14:paraId="02F57EE1" w14:textId="2D13023E" w:rsidR="00D91C15" w:rsidRDefault="00D91C15" w:rsidP="00D91C15">
      <w:pPr>
        <w:jc w:val="center"/>
        <w:rPr>
          <w:b/>
          <w:sz w:val="32"/>
          <w:szCs w:val="24"/>
        </w:rPr>
      </w:pPr>
      <w:r w:rsidRPr="00FE50A2">
        <w:rPr>
          <w:b/>
          <w:sz w:val="32"/>
          <w:szCs w:val="24"/>
        </w:rPr>
        <w:t xml:space="preserve">Expression of Interest for </w:t>
      </w:r>
    </w:p>
    <w:p w14:paraId="1F1132F1" w14:textId="435F48BE" w:rsidR="00D91C15" w:rsidRPr="003A3B44" w:rsidRDefault="00296FE7" w:rsidP="00D91C15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Queensland Clinical Senate – Health and Wellbeing </w:t>
      </w:r>
      <w:r w:rsidR="00327BC1">
        <w:rPr>
          <w:b/>
          <w:sz w:val="32"/>
          <w:szCs w:val="24"/>
        </w:rPr>
        <w:t>of the Workforce</w:t>
      </w:r>
      <w:r>
        <w:rPr>
          <w:b/>
          <w:sz w:val="32"/>
          <w:szCs w:val="24"/>
        </w:rPr>
        <w:t xml:space="preserve"> – Consumer </w:t>
      </w:r>
      <w:r w:rsidR="00327BC1">
        <w:rPr>
          <w:b/>
          <w:sz w:val="32"/>
          <w:szCs w:val="24"/>
        </w:rPr>
        <w:t>Attendance</w:t>
      </w:r>
      <w:r>
        <w:rPr>
          <w:b/>
          <w:sz w:val="32"/>
          <w:szCs w:val="24"/>
        </w:rPr>
        <w:t xml:space="preserve"> and Speaking Opportunity </w:t>
      </w:r>
    </w:p>
    <w:p w14:paraId="71DBF9AD" w14:textId="77777777" w:rsidR="00D91C15" w:rsidRDefault="00D91C15" w:rsidP="00D91C15">
      <w:pPr>
        <w:pStyle w:val="BodyText"/>
        <w:spacing w:before="11"/>
        <w:ind w:left="0" w:right="0"/>
        <w:rPr>
          <w:sz w:val="20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9"/>
        <w:gridCol w:w="3118"/>
        <w:gridCol w:w="709"/>
        <w:gridCol w:w="678"/>
      </w:tblGrid>
      <w:tr w:rsidR="00D91C15" w14:paraId="5398D6B6" w14:textId="77777777" w:rsidTr="00C8664B">
        <w:trPr>
          <w:trHeight w:hRule="exact" w:val="518"/>
        </w:trPr>
        <w:tc>
          <w:tcPr>
            <w:tcW w:w="9214" w:type="dxa"/>
            <w:gridSpan w:val="4"/>
            <w:tcBorders>
              <w:bottom w:val="dotted" w:sz="4" w:space="0" w:color="000000"/>
            </w:tcBorders>
            <w:shd w:val="clear" w:color="auto" w:fill="E1E1E1"/>
          </w:tcPr>
          <w:p w14:paraId="1F06668C" w14:textId="77777777" w:rsidR="00D91C15" w:rsidRDefault="00D91C15" w:rsidP="00C8664B">
            <w:pPr>
              <w:pStyle w:val="TableParagraph"/>
              <w:spacing w:before="117"/>
              <w:rPr>
                <w:b/>
              </w:rPr>
            </w:pPr>
            <w:bookmarkStart w:id="2" w:name="Tenancy_details"/>
            <w:bookmarkStart w:id="3" w:name="Applicant_details"/>
            <w:bookmarkEnd w:id="2"/>
            <w:bookmarkEnd w:id="3"/>
            <w:r>
              <w:rPr>
                <w:b/>
              </w:rPr>
              <w:t>Personal details</w:t>
            </w:r>
          </w:p>
        </w:tc>
      </w:tr>
      <w:tr w:rsidR="00D91C15" w14:paraId="0EC783EA" w14:textId="77777777" w:rsidTr="00C8664B">
        <w:trPr>
          <w:trHeight w:hRule="exact" w:val="494"/>
        </w:trPr>
        <w:tc>
          <w:tcPr>
            <w:tcW w:w="9214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14:paraId="2971D365" w14:textId="77777777" w:rsidR="00D91C15" w:rsidRDefault="00D91C15" w:rsidP="00C8664B">
            <w:pPr>
              <w:pStyle w:val="TableParagraph"/>
              <w:tabs>
                <w:tab w:val="left" w:pos="5666"/>
                <w:tab w:val="left" w:pos="7506"/>
                <w:tab w:val="left" w:pos="8217"/>
              </w:tabs>
              <w:spacing w:before="105"/>
            </w:pPr>
            <w:r>
              <w:t>Full</w:t>
            </w:r>
            <w:r>
              <w:rPr>
                <w:spacing w:val="-1"/>
              </w:rPr>
              <w:t xml:space="preserve"> </w:t>
            </w:r>
            <w:r>
              <w:t>name:</w:t>
            </w:r>
            <w:r>
              <w:tab/>
            </w:r>
          </w:p>
        </w:tc>
      </w:tr>
      <w:tr w:rsidR="00D91C15" w14:paraId="36B4CCCC" w14:textId="77777777" w:rsidTr="00C8664B">
        <w:trPr>
          <w:trHeight w:hRule="exact" w:val="470"/>
        </w:trPr>
        <w:tc>
          <w:tcPr>
            <w:tcW w:w="9214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14:paraId="171C60A8" w14:textId="77777777" w:rsidR="00D91C15" w:rsidRDefault="00D91C15" w:rsidP="00C8664B">
            <w:pPr>
              <w:pStyle w:val="TableParagraph"/>
              <w:tabs>
                <w:tab w:val="left" w:pos="4915"/>
              </w:tabs>
              <w:spacing w:before="93"/>
            </w:pPr>
            <w:r>
              <w:t>Phone</w:t>
            </w:r>
            <w:r>
              <w:rPr>
                <w:spacing w:val="-3"/>
              </w:rPr>
              <w:t xml:space="preserve"> </w:t>
            </w:r>
            <w:r>
              <w:t>number:</w:t>
            </w:r>
            <w:r>
              <w:tab/>
            </w:r>
          </w:p>
        </w:tc>
      </w:tr>
      <w:tr w:rsidR="00D91C15" w14:paraId="0BF98304" w14:textId="77777777" w:rsidTr="00C8664B">
        <w:trPr>
          <w:trHeight w:hRule="exact" w:val="470"/>
        </w:trPr>
        <w:tc>
          <w:tcPr>
            <w:tcW w:w="9214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14:paraId="512177B0" w14:textId="77777777" w:rsidR="00D91C15" w:rsidRDefault="00D91C15" w:rsidP="00C8664B">
            <w:pPr>
              <w:pStyle w:val="TableParagraph"/>
              <w:spacing w:before="93"/>
            </w:pPr>
            <w:r>
              <w:t>Email:</w:t>
            </w:r>
          </w:p>
        </w:tc>
      </w:tr>
      <w:tr w:rsidR="00D91C15" w14:paraId="43A3BF59" w14:textId="77777777" w:rsidTr="00C8664B">
        <w:trPr>
          <w:trHeight w:hRule="exact" w:val="473"/>
        </w:trPr>
        <w:tc>
          <w:tcPr>
            <w:tcW w:w="9214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14:paraId="7E23EF64" w14:textId="77777777" w:rsidR="00D91C15" w:rsidRDefault="00D91C15" w:rsidP="00C8664B">
            <w:pPr>
              <w:pStyle w:val="TableParagraph"/>
              <w:spacing w:before="95"/>
            </w:pPr>
            <w:r>
              <w:t>Address:</w:t>
            </w:r>
          </w:p>
        </w:tc>
      </w:tr>
      <w:tr w:rsidR="00D91C15" w14:paraId="54BB6E24" w14:textId="77777777" w:rsidTr="00C8664B">
        <w:trPr>
          <w:trHeight w:hRule="exact" w:val="470"/>
        </w:trPr>
        <w:tc>
          <w:tcPr>
            <w:tcW w:w="9214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14:paraId="7BF08216" w14:textId="77777777" w:rsidR="00D91C15" w:rsidRDefault="00D91C15" w:rsidP="00C8664B">
            <w:pPr>
              <w:pStyle w:val="TableParagraph"/>
              <w:spacing w:before="95"/>
            </w:pPr>
            <w:r>
              <w:t>Postcode:</w:t>
            </w:r>
          </w:p>
        </w:tc>
      </w:tr>
      <w:tr w:rsidR="00D91C15" w14:paraId="06958E7B" w14:textId="77777777" w:rsidTr="00C8664B">
        <w:trPr>
          <w:trHeight w:hRule="exact" w:val="759"/>
        </w:trPr>
        <w:tc>
          <w:tcPr>
            <w:tcW w:w="782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357D4780" w14:textId="77777777" w:rsidR="00D91C15" w:rsidRDefault="00D91C15" w:rsidP="00C8664B">
            <w:pPr>
              <w:pStyle w:val="TableParagraph"/>
              <w:tabs>
                <w:tab w:val="left" w:pos="4914"/>
                <w:tab w:val="left" w:pos="6714"/>
              </w:tabs>
              <w:spacing w:before="93"/>
            </w:pPr>
            <w:r>
              <w:t xml:space="preserve">By completing this application I consent for my details to be added to the Health Consumers Queensland network database </w:t>
            </w: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22CCCF9" w14:textId="77777777" w:rsidR="00D91C15" w:rsidRDefault="00D91C15" w:rsidP="00C8664B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Yes</w:t>
            </w:r>
          </w:p>
        </w:tc>
        <w:tc>
          <w:tcPr>
            <w:tcW w:w="67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BC02D46" w14:textId="77777777" w:rsidR="00D91C15" w:rsidRDefault="00D91C15" w:rsidP="00C8664B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No</w:t>
            </w:r>
          </w:p>
        </w:tc>
      </w:tr>
      <w:tr w:rsidR="00D91C15" w14:paraId="30398E9D" w14:textId="77777777" w:rsidTr="00C8664B">
        <w:trPr>
          <w:trHeight w:hRule="exact" w:val="759"/>
        </w:trPr>
        <w:tc>
          <w:tcPr>
            <w:tcW w:w="782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3287B311" w14:textId="77777777" w:rsidR="00D91C15" w:rsidRDefault="00D91C15" w:rsidP="00C8664B">
            <w:pPr>
              <w:pStyle w:val="TableParagraph"/>
              <w:tabs>
                <w:tab w:val="left" w:pos="4914"/>
                <w:tab w:val="left" w:pos="6714"/>
              </w:tabs>
              <w:spacing w:before="93"/>
            </w:pPr>
            <w:r>
              <w:t>I would like to receive email updates from Health Consumers Queensland</w:t>
            </w: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AED575D" w14:textId="77777777" w:rsidR="00D91C15" w:rsidRDefault="00D91C15" w:rsidP="00C8664B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Yes</w:t>
            </w:r>
          </w:p>
        </w:tc>
        <w:tc>
          <w:tcPr>
            <w:tcW w:w="67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E3D4981" w14:textId="77777777" w:rsidR="00D91C15" w:rsidRDefault="00D91C15" w:rsidP="00C8664B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No</w:t>
            </w:r>
          </w:p>
        </w:tc>
      </w:tr>
      <w:tr w:rsidR="00D91C15" w14:paraId="163D0100" w14:textId="77777777" w:rsidTr="00C8664B">
        <w:trPr>
          <w:trHeight w:hRule="exact" w:val="759"/>
        </w:trPr>
        <w:tc>
          <w:tcPr>
            <w:tcW w:w="782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2B20F215" w14:textId="77777777" w:rsidR="00D91C15" w:rsidRDefault="00D91C15" w:rsidP="00C8664B">
            <w:pPr>
              <w:pStyle w:val="TableParagraph"/>
              <w:tabs>
                <w:tab w:val="left" w:pos="4914"/>
                <w:tab w:val="left" w:pos="6714"/>
              </w:tabs>
              <w:spacing w:before="93"/>
            </w:pPr>
            <w:r>
              <w:t xml:space="preserve">Are you happy for Health Consumers Queensland to share this form with </w:t>
            </w:r>
            <w:r w:rsidRPr="00C849EE">
              <w:t>Queensland Health</w:t>
            </w:r>
            <w:r w:rsidRPr="000E4DFD">
              <w:t xml:space="preserve"> </w:t>
            </w:r>
            <w:r>
              <w:t xml:space="preserve">as part of the process for this application?            </w:t>
            </w: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9F3C953" w14:textId="77777777" w:rsidR="00D91C15" w:rsidRDefault="00D91C15" w:rsidP="00C8664B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Yes</w:t>
            </w:r>
          </w:p>
        </w:tc>
        <w:tc>
          <w:tcPr>
            <w:tcW w:w="67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87F49C0" w14:textId="77777777" w:rsidR="00D91C15" w:rsidRDefault="00D91C15" w:rsidP="00C8664B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No</w:t>
            </w:r>
          </w:p>
        </w:tc>
      </w:tr>
      <w:tr w:rsidR="00D91C15" w14:paraId="3AB9943D" w14:textId="77777777" w:rsidTr="00C8664B">
        <w:trPr>
          <w:trHeight w:hRule="exact" w:val="759"/>
        </w:trPr>
        <w:tc>
          <w:tcPr>
            <w:tcW w:w="782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3D5C23F5" w14:textId="77777777" w:rsidR="00D91C15" w:rsidRDefault="00D91C15" w:rsidP="00C8664B">
            <w:pPr>
              <w:pStyle w:val="TableParagraph"/>
              <w:tabs>
                <w:tab w:val="left" w:pos="4914"/>
                <w:tab w:val="left" w:pos="6714"/>
              </w:tabs>
              <w:spacing w:before="93"/>
            </w:pPr>
            <w:r>
              <w:t>Would you like us to retain this application for future vacancies</w:t>
            </w:r>
          </w:p>
          <w:p w14:paraId="12DC485F" w14:textId="77777777" w:rsidR="00D91C15" w:rsidRDefault="00D91C15" w:rsidP="00C8664B">
            <w:pPr>
              <w:pStyle w:val="TableParagraph"/>
              <w:tabs>
                <w:tab w:val="left" w:pos="4914"/>
                <w:tab w:val="left" w:pos="6714"/>
              </w:tabs>
              <w:spacing w:before="93"/>
            </w:pPr>
            <w:r w:rsidRPr="00745256">
              <w:rPr>
                <w:i/>
                <w:sz w:val="20"/>
              </w:rPr>
              <w:t>Applications not retained are destroyed once the application process is complete.</w:t>
            </w: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7D11A3D" w14:textId="77777777" w:rsidR="00D91C15" w:rsidRDefault="00D91C15" w:rsidP="00C8664B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Yes</w:t>
            </w:r>
          </w:p>
        </w:tc>
        <w:tc>
          <w:tcPr>
            <w:tcW w:w="67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BE852B4" w14:textId="77777777" w:rsidR="00D91C15" w:rsidRDefault="00D91C15" w:rsidP="00C8664B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No</w:t>
            </w:r>
          </w:p>
        </w:tc>
      </w:tr>
      <w:tr w:rsidR="00D91C15" w14:paraId="3FA8EC52" w14:textId="77777777" w:rsidTr="00C8664B">
        <w:trPr>
          <w:trHeight w:hRule="exact" w:val="518"/>
        </w:trPr>
        <w:tc>
          <w:tcPr>
            <w:tcW w:w="9214" w:type="dxa"/>
            <w:gridSpan w:val="4"/>
            <w:tcBorders>
              <w:bottom w:val="dotted" w:sz="4" w:space="0" w:color="000000"/>
            </w:tcBorders>
            <w:shd w:val="clear" w:color="auto" w:fill="E1E1E1"/>
          </w:tcPr>
          <w:p w14:paraId="7C78C19F" w14:textId="77777777" w:rsidR="00D91C15" w:rsidRDefault="00D91C15" w:rsidP="00C8664B">
            <w:pPr>
              <w:pStyle w:val="TableParagraph"/>
              <w:spacing w:before="117"/>
              <w:rPr>
                <w:b/>
              </w:rPr>
            </w:pPr>
            <w:bookmarkStart w:id="4" w:name="Identification"/>
            <w:bookmarkEnd w:id="4"/>
            <w:r w:rsidRPr="006F324E">
              <w:rPr>
                <w:b/>
                <w:noProof/>
                <w:lang w:eastAsia="en-AU"/>
              </w:rPr>
              <w:t xml:space="preserve">Please </w:t>
            </w:r>
            <w:r>
              <w:rPr>
                <w:b/>
                <w:noProof/>
                <w:lang w:eastAsia="en-AU"/>
              </w:rPr>
              <w:t>highlight</w:t>
            </w:r>
            <w:r w:rsidRPr="006F324E">
              <w:rPr>
                <w:b/>
                <w:noProof/>
                <w:lang w:eastAsia="en-AU"/>
              </w:rPr>
              <w:t xml:space="preserve"> any group that </w:t>
            </w:r>
            <w:r>
              <w:rPr>
                <w:b/>
                <w:noProof/>
                <w:lang w:eastAsia="en-AU"/>
              </w:rPr>
              <w:t>you identify as being a part of:</w:t>
            </w:r>
          </w:p>
        </w:tc>
      </w:tr>
      <w:tr w:rsidR="00D91C15" w14:paraId="1CAA9498" w14:textId="77777777" w:rsidTr="00C8664B">
        <w:trPr>
          <w:trHeight w:hRule="exact" w:val="2035"/>
        </w:trPr>
        <w:tc>
          <w:tcPr>
            <w:tcW w:w="4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ECD7F" w14:textId="77777777" w:rsidR="00D91C15" w:rsidRPr="00745256" w:rsidRDefault="00D91C15" w:rsidP="00D91C15">
            <w:pPr>
              <w:pStyle w:val="ListParagraph"/>
              <w:numPr>
                <w:ilvl w:val="0"/>
                <w:numId w:val="6"/>
              </w:numPr>
              <w:spacing w:before="240" w:after="120" w:line="288" w:lineRule="auto"/>
              <w:contextualSpacing/>
            </w:pPr>
            <w:r w:rsidRPr="00745256">
              <w:t>Living with a disability/chronic condition</w:t>
            </w:r>
          </w:p>
          <w:p w14:paraId="719E5474" w14:textId="77777777" w:rsidR="00D91C15" w:rsidRPr="00745256" w:rsidRDefault="00D91C15" w:rsidP="00D91C15">
            <w:pPr>
              <w:pStyle w:val="ListParagraph"/>
              <w:numPr>
                <w:ilvl w:val="0"/>
                <w:numId w:val="6"/>
              </w:numPr>
              <w:spacing w:after="120" w:line="288" w:lineRule="auto"/>
              <w:contextualSpacing/>
            </w:pPr>
            <w:r w:rsidRPr="00745256">
              <w:t>Caring for someone with a disability</w:t>
            </w:r>
          </w:p>
          <w:p w14:paraId="621AE5BE" w14:textId="77777777" w:rsidR="00D91C15" w:rsidRPr="00745256" w:rsidRDefault="00D91C15" w:rsidP="00D91C15">
            <w:pPr>
              <w:pStyle w:val="ListParagraph"/>
              <w:numPr>
                <w:ilvl w:val="0"/>
                <w:numId w:val="6"/>
              </w:numPr>
              <w:spacing w:after="120" w:line="288" w:lineRule="auto"/>
              <w:contextualSpacing/>
            </w:pPr>
            <w:r w:rsidRPr="00745256">
              <w:t>Physically isolated or transport disadvantaged</w:t>
            </w:r>
          </w:p>
        </w:tc>
        <w:tc>
          <w:tcPr>
            <w:tcW w:w="4505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3CEC90C0" w14:textId="77777777" w:rsidR="00D91C15" w:rsidRDefault="00D91C15" w:rsidP="00C8664B">
            <w:pPr>
              <w:pStyle w:val="ListParagraph"/>
              <w:spacing w:before="360" w:after="120" w:line="288" w:lineRule="auto"/>
              <w:ind w:left="714"/>
              <w:contextualSpacing/>
            </w:pPr>
          </w:p>
          <w:p w14:paraId="5A79F0B6" w14:textId="77777777" w:rsidR="00D91C15" w:rsidRPr="00745256" w:rsidRDefault="00D91C15" w:rsidP="00D91C15">
            <w:pPr>
              <w:pStyle w:val="ListParagraph"/>
              <w:numPr>
                <w:ilvl w:val="0"/>
                <w:numId w:val="6"/>
              </w:numPr>
              <w:spacing w:after="120" w:line="288" w:lineRule="auto"/>
              <w:ind w:left="714" w:hanging="357"/>
              <w:contextualSpacing/>
            </w:pPr>
            <w:r w:rsidRPr="00745256">
              <w:t>Culturally or linguistically diverse</w:t>
            </w:r>
          </w:p>
          <w:p w14:paraId="13146397" w14:textId="77777777" w:rsidR="00D91C15" w:rsidRDefault="00D91C15" w:rsidP="00D91C15">
            <w:pPr>
              <w:pStyle w:val="ListParagraph"/>
              <w:numPr>
                <w:ilvl w:val="0"/>
                <w:numId w:val="6"/>
              </w:numPr>
              <w:spacing w:after="120" w:line="288" w:lineRule="auto"/>
              <w:contextualSpacing/>
            </w:pPr>
            <w:r w:rsidRPr="00745256">
              <w:t>From a non-English speaking background</w:t>
            </w:r>
          </w:p>
          <w:p w14:paraId="103D59CC" w14:textId="77777777" w:rsidR="00D91C15" w:rsidRPr="00745256" w:rsidRDefault="00D91C15" w:rsidP="00C8664B">
            <w:pPr>
              <w:spacing w:after="120" w:line="288" w:lineRule="auto"/>
              <w:ind w:left="360"/>
              <w:contextualSpacing/>
            </w:pPr>
          </w:p>
        </w:tc>
      </w:tr>
      <w:tr w:rsidR="00D91C15" w14:paraId="19D19366" w14:textId="77777777" w:rsidTr="00C8664B">
        <w:tblPrEx>
          <w:tblCellMar>
            <w:left w:w="57" w:type="dxa"/>
          </w:tblCellMar>
        </w:tblPrEx>
        <w:trPr>
          <w:trHeight w:hRule="exact" w:val="412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7134882" w14:textId="77777777" w:rsidR="00D91C15" w:rsidRDefault="00D91C15" w:rsidP="00C8664B">
            <w:pPr>
              <w:spacing w:before="360" w:after="120" w:line="288" w:lineRule="auto"/>
              <w:contextualSpacing/>
            </w:pPr>
            <w:r>
              <w:rPr>
                <w:b/>
                <w:noProof/>
                <w:lang w:eastAsia="en-AU"/>
              </w:rPr>
              <w:t xml:space="preserve">  </w:t>
            </w:r>
            <w:r w:rsidRPr="00FC3047">
              <w:rPr>
                <w:b/>
                <w:noProof/>
                <w:lang w:eastAsia="en-AU"/>
              </w:rPr>
              <w:t xml:space="preserve">Do you identify as: </w:t>
            </w:r>
            <w:r w:rsidRPr="00FC3047">
              <w:rPr>
                <w:rFonts w:ascii="Wingdings" w:eastAsia="Wingdings" w:hAnsi="Wingdings" w:cs="Wingdings"/>
              </w:rPr>
              <w:t></w:t>
            </w:r>
            <w:r w:rsidRPr="00FC3047">
              <w:rPr>
                <w:bCs/>
                <w:spacing w:val="1"/>
                <w:position w:val="1"/>
              </w:rPr>
              <w:t xml:space="preserve"> </w:t>
            </w:r>
            <w:r w:rsidRPr="00AC2FCB">
              <w:rPr>
                <w:noProof/>
                <w:lang w:eastAsia="en-AU"/>
              </w:rPr>
              <w:t xml:space="preserve">Aboriginal     </w:t>
            </w:r>
            <w:r w:rsidRPr="00FC3047">
              <w:rPr>
                <w:rFonts w:ascii="Wingdings" w:eastAsia="Wingdings" w:hAnsi="Wingdings" w:cs="Wingdings"/>
              </w:rPr>
              <w:t></w:t>
            </w:r>
            <w:r w:rsidRPr="00FC3047">
              <w:rPr>
                <w:bCs/>
                <w:spacing w:val="1"/>
                <w:position w:val="1"/>
              </w:rPr>
              <w:t xml:space="preserve"> </w:t>
            </w:r>
            <w:r w:rsidRPr="00AC2FCB">
              <w:rPr>
                <w:noProof/>
                <w:lang w:eastAsia="en-AU"/>
              </w:rPr>
              <w:t xml:space="preserve">Torres Strait Islander     </w:t>
            </w:r>
            <w:r w:rsidRPr="00FC3047">
              <w:rPr>
                <w:rFonts w:ascii="Wingdings" w:eastAsia="Wingdings" w:hAnsi="Wingdings" w:cs="Wingdings"/>
              </w:rPr>
              <w:t></w:t>
            </w:r>
            <w:r w:rsidRPr="00FC3047">
              <w:rPr>
                <w:bCs/>
                <w:spacing w:val="1"/>
                <w:position w:val="1"/>
              </w:rPr>
              <w:t xml:space="preserve"> </w:t>
            </w:r>
            <w:r w:rsidRPr="00AC2FCB">
              <w:rPr>
                <w:noProof/>
                <w:lang w:eastAsia="en-AU"/>
              </w:rPr>
              <w:t xml:space="preserve">Both    </w:t>
            </w:r>
            <w:r w:rsidRPr="00FC3047">
              <w:rPr>
                <w:rFonts w:ascii="Wingdings" w:eastAsia="Wingdings" w:hAnsi="Wingdings" w:cs="Wingdings"/>
              </w:rPr>
              <w:t></w:t>
            </w:r>
            <w:r w:rsidRPr="00FC3047">
              <w:rPr>
                <w:bCs/>
                <w:spacing w:val="1"/>
                <w:position w:val="1"/>
              </w:rPr>
              <w:t xml:space="preserve"> </w:t>
            </w:r>
            <w:r w:rsidRPr="00AC2FCB">
              <w:rPr>
                <w:noProof/>
                <w:lang w:eastAsia="en-AU"/>
              </w:rPr>
              <w:t>Prefer not to state</w:t>
            </w:r>
          </w:p>
        </w:tc>
      </w:tr>
      <w:tr w:rsidR="00D91C15" w14:paraId="474B8FA4" w14:textId="77777777" w:rsidTr="00C8664B">
        <w:tblPrEx>
          <w:tblCellMar>
            <w:left w:w="57" w:type="dxa"/>
          </w:tblCellMar>
        </w:tblPrEx>
        <w:trPr>
          <w:trHeight w:hRule="exact" w:val="412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8106050" w14:textId="77777777" w:rsidR="00D91C15" w:rsidRDefault="00D91C15" w:rsidP="00C8664B">
            <w:pPr>
              <w:spacing w:before="360" w:after="120" w:line="288" w:lineRule="auto"/>
              <w:contextualSpacing/>
            </w:pPr>
            <w:r>
              <w:rPr>
                <w:b/>
                <w:noProof/>
                <w:lang w:eastAsia="en-AU"/>
              </w:rPr>
              <w:t xml:space="preserve">  Are you a</w:t>
            </w:r>
            <w:r w:rsidRPr="00FC3047">
              <w:rPr>
                <w:b/>
                <w:noProof/>
                <w:lang w:eastAsia="en-AU"/>
              </w:rPr>
              <w:t xml:space="preserve">: </w:t>
            </w:r>
            <w:r w:rsidRPr="00FC3047">
              <w:rPr>
                <w:rFonts w:ascii="Wingdings" w:eastAsia="Wingdings" w:hAnsi="Wingdings" w:cs="Wingdings"/>
              </w:rPr>
              <w:t></w:t>
            </w:r>
            <w:r w:rsidRPr="00FC3047">
              <w:rPr>
                <w:bCs/>
                <w:spacing w:val="1"/>
                <w:position w:val="1"/>
              </w:rPr>
              <w:t xml:space="preserve"> </w:t>
            </w:r>
            <w:r>
              <w:rPr>
                <w:noProof/>
                <w:lang w:eastAsia="en-AU"/>
              </w:rPr>
              <w:t>Consumer</w:t>
            </w:r>
            <w:r w:rsidRPr="00AC2FCB">
              <w:rPr>
                <w:noProof/>
                <w:lang w:eastAsia="en-AU"/>
              </w:rPr>
              <w:t xml:space="preserve">     </w:t>
            </w:r>
            <w:r w:rsidRPr="00FC3047">
              <w:rPr>
                <w:rFonts w:ascii="Wingdings" w:eastAsia="Wingdings" w:hAnsi="Wingdings" w:cs="Wingdings"/>
              </w:rPr>
              <w:t></w:t>
            </w:r>
            <w:r w:rsidRPr="00FC3047">
              <w:rPr>
                <w:bCs/>
                <w:spacing w:val="1"/>
                <w:position w:val="1"/>
              </w:rPr>
              <w:t xml:space="preserve"> </w:t>
            </w:r>
            <w:r>
              <w:rPr>
                <w:noProof/>
                <w:lang w:eastAsia="en-AU"/>
              </w:rPr>
              <w:t>Carer</w:t>
            </w:r>
            <w:r w:rsidRPr="00AC2FCB">
              <w:rPr>
                <w:noProof/>
                <w:lang w:eastAsia="en-AU"/>
              </w:rPr>
              <w:t xml:space="preserve">     </w:t>
            </w:r>
          </w:p>
        </w:tc>
      </w:tr>
      <w:tr w:rsidR="00D91C15" w14:paraId="7787F489" w14:textId="77777777" w:rsidTr="00C8664B">
        <w:tblPrEx>
          <w:tblCellMar>
            <w:left w:w="57" w:type="dxa"/>
          </w:tblCellMar>
        </w:tblPrEx>
        <w:trPr>
          <w:trHeight w:hRule="exact" w:val="601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8D2515B" w14:textId="77777777" w:rsidR="00D91C15" w:rsidRPr="00E302A0" w:rsidRDefault="00D91C15" w:rsidP="00C8664B">
            <w:pPr>
              <w:spacing w:before="94"/>
              <w:ind w:right="-20"/>
              <w:rPr>
                <w:b/>
                <w:noProof/>
                <w:sz w:val="11"/>
                <w:szCs w:val="11"/>
                <w:lang w:eastAsia="en-AU"/>
              </w:rPr>
            </w:pPr>
            <w:r>
              <w:rPr>
                <w:b/>
                <w:bCs/>
                <w:spacing w:val="1"/>
              </w:rPr>
              <w:t xml:space="preserve">  </w:t>
            </w:r>
            <w:r w:rsidRPr="00082F86">
              <w:rPr>
                <w:b/>
                <w:bCs/>
                <w:spacing w:val="1"/>
              </w:rPr>
              <w:t>Ag</w:t>
            </w:r>
            <w:r w:rsidRPr="00082F86">
              <w:rPr>
                <w:b/>
                <w:bCs/>
              </w:rPr>
              <w:t>e</w:t>
            </w:r>
            <w:r w:rsidRPr="00082F86">
              <w:rPr>
                <w:b/>
                <w:bCs/>
                <w:spacing w:val="-3"/>
              </w:rPr>
              <w:t xml:space="preserve"> </w:t>
            </w:r>
            <w:r w:rsidRPr="00082F86">
              <w:rPr>
                <w:b/>
                <w:bCs/>
                <w:spacing w:val="1"/>
              </w:rPr>
              <w:t>r</w:t>
            </w:r>
            <w:r w:rsidRPr="00082F86">
              <w:rPr>
                <w:b/>
                <w:bCs/>
                <w:spacing w:val="-1"/>
              </w:rPr>
              <w:t>an</w:t>
            </w:r>
            <w:r w:rsidRPr="00082F86">
              <w:rPr>
                <w:b/>
                <w:bCs/>
                <w:spacing w:val="1"/>
              </w:rPr>
              <w:t>g</w:t>
            </w:r>
            <w:r w:rsidRPr="00082F86">
              <w:rPr>
                <w:b/>
                <w:bCs/>
              </w:rPr>
              <w:t xml:space="preserve">e         </w:t>
            </w:r>
            <w:r w:rsidRPr="00082F86">
              <w:rPr>
                <w:rFonts w:ascii="Wingdings" w:eastAsia="Wingdings" w:hAnsi="Wingdings" w:cs="Wingdings"/>
              </w:rPr>
              <w:t></w:t>
            </w:r>
            <w:r w:rsidRPr="00082F86">
              <w:rPr>
                <w:bCs/>
                <w:spacing w:val="1"/>
                <w:position w:val="1"/>
              </w:rPr>
              <w:t xml:space="preserve"> </w:t>
            </w:r>
            <w:r w:rsidRPr="00082F86">
              <w:rPr>
                <w:bCs/>
                <w:spacing w:val="1"/>
              </w:rPr>
              <w:t>16</w:t>
            </w:r>
            <w:r w:rsidRPr="00082F86">
              <w:rPr>
                <w:bCs/>
                <w:spacing w:val="-3"/>
              </w:rPr>
              <w:t>-</w:t>
            </w:r>
            <w:r w:rsidRPr="00082F86">
              <w:rPr>
                <w:bCs/>
                <w:spacing w:val="1"/>
              </w:rPr>
              <w:t>2</w:t>
            </w:r>
            <w:r w:rsidRPr="00082F86">
              <w:rPr>
                <w:bCs/>
              </w:rPr>
              <w:t>4</w:t>
            </w:r>
            <w:r w:rsidRPr="00082F86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 xml:space="preserve">    </w:t>
            </w:r>
            <w:r w:rsidRPr="00082F86">
              <w:rPr>
                <w:rFonts w:ascii="Wingdings" w:eastAsia="Wingdings" w:hAnsi="Wingdings" w:cs="Wingdings"/>
              </w:rPr>
              <w:t></w:t>
            </w:r>
            <w:r w:rsidRPr="00082F86">
              <w:rPr>
                <w:bCs/>
                <w:spacing w:val="1"/>
                <w:position w:val="1"/>
              </w:rPr>
              <w:t xml:space="preserve"> </w:t>
            </w:r>
            <w:r w:rsidRPr="00082F86">
              <w:rPr>
                <w:bCs/>
                <w:spacing w:val="1"/>
              </w:rPr>
              <w:t>25</w:t>
            </w:r>
            <w:r w:rsidRPr="00082F86">
              <w:rPr>
                <w:bCs/>
                <w:spacing w:val="-3"/>
              </w:rPr>
              <w:t>-29</w:t>
            </w:r>
            <w:r w:rsidRPr="00082F86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 xml:space="preserve">    </w:t>
            </w:r>
            <w:r w:rsidRPr="00082F86">
              <w:rPr>
                <w:rFonts w:ascii="Wingdings" w:eastAsia="Wingdings" w:hAnsi="Wingdings" w:cs="Wingdings"/>
              </w:rPr>
              <w:t></w:t>
            </w:r>
            <w:r w:rsidRPr="00082F86">
              <w:rPr>
                <w:bCs/>
                <w:spacing w:val="1"/>
                <w:position w:val="1"/>
              </w:rPr>
              <w:t xml:space="preserve"> </w:t>
            </w:r>
            <w:r w:rsidRPr="00082F86">
              <w:rPr>
                <w:bCs/>
                <w:spacing w:val="1"/>
              </w:rPr>
              <w:t>30-39</w:t>
            </w:r>
            <w:r w:rsidRPr="00082F86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 xml:space="preserve">    </w:t>
            </w:r>
            <w:r w:rsidRPr="00082F86">
              <w:rPr>
                <w:rFonts w:ascii="Wingdings" w:eastAsia="Wingdings" w:hAnsi="Wingdings" w:cs="Wingdings"/>
              </w:rPr>
              <w:t></w:t>
            </w:r>
            <w:r w:rsidRPr="00082F86">
              <w:rPr>
                <w:bCs/>
                <w:spacing w:val="1"/>
                <w:position w:val="1"/>
              </w:rPr>
              <w:t xml:space="preserve"> </w:t>
            </w:r>
            <w:r w:rsidRPr="00082F86">
              <w:rPr>
                <w:bCs/>
                <w:spacing w:val="1"/>
              </w:rPr>
              <w:t>40-49</w:t>
            </w:r>
            <w:r w:rsidRPr="00082F86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 xml:space="preserve">    </w:t>
            </w:r>
            <w:r w:rsidRPr="00082F86">
              <w:rPr>
                <w:rFonts w:ascii="Wingdings" w:eastAsia="Wingdings" w:hAnsi="Wingdings" w:cs="Wingdings"/>
              </w:rPr>
              <w:t></w:t>
            </w:r>
            <w:r w:rsidRPr="00082F86">
              <w:rPr>
                <w:bCs/>
                <w:spacing w:val="1"/>
                <w:position w:val="1"/>
              </w:rPr>
              <w:t xml:space="preserve"> </w:t>
            </w:r>
            <w:r w:rsidRPr="00082F86">
              <w:rPr>
                <w:bCs/>
                <w:spacing w:val="1"/>
              </w:rPr>
              <w:t>50-59</w:t>
            </w:r>
            <w:r w:rsidRPr="00082F86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 xml:space="preserve">     </w:t>
            </w:r>
            <w:r w:rsidRPr="00082F86">
              <w:rPr>
                <w:rFonts w:ascii="Wingdings" w:eastAsia="Wingdings" w:hAnsi="Wingdings" w:cs="Wingdings"/>
              </w:rPr>
              <w:t></w:t>
            </w:r>
            <w:r w:rsidRPr="00082F86">
              <w:rPr>
                <w:bCs/>
                <w:spacing w:val="1"/>
                <w:position w:val="1"/>
              </w:rPr>
              <w:t xml:space="preserve"> </w:t>
            </w:r>
            <w:r>
              <w:rPr>
                <w:bCs/>
                <w:spacing w:val="1"/>
              </w:rPr>
              <w:t xml:space="preserve">60-69      </w:t>
            </w:r>
            <w:r w:rsidRPr="00082F86">
              <w:rPr>
                <w:rFonts w:ascii="Wingdings" w:eastAsia="Wingdings" w:hAnsi="Wingdings" w:cs="Wingdings"/>
              </w:rPr>
              <w:t></w:t>
            </w:r>
            <w:r>
              <w:rPr>
                <w:bCs/>
                <w:spacing w:val="1"/>
              </w:rPr>
              <w:t>70+</w:t>
            </w:r>
          </w:p>
        </w:tc>
      </w:tr>
      <w:tr w:rsidR="00D91C15" w14:paraId="32E2BCEF" w14:textId="77777777" w:rsidTr="00C8664B">
        <w:trPr>
          <w:trHeight w:hRule="exact" w:val="468"/>
        </w:trPr>
        <w:tc>
          <w:tcPr>
            <w:tcW w:w="9214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D9D9D9" w:themeFill="background1" w:themeFillShade="D9"/>
          </w:tcPr>
          <w:p w14:paraId="35BD1BDD" w14:textId="77777777" w:rsidR="00D91C15" w:rsidRPr="00EC7AB6" w:rsidRDefault="00D91C15" w:rsidP="00C8664B">
            <w:pPr>
              <w:pStyle w:val="TableParagraph"/>
              <w:spacing w:before="93"/>
              <w:rPr>
                <w:b/>
              </w:rPr>
            </w:pPr>
            <w:bookmarkStart w:id="5" w:name="Emergency_contact"/>
            <w:bookmarkEnd w:id="5"/>
            <w:r w:rsidRPr="00EC7AB6">
              <w:rPr>
                <w:b/>
              </w:rPr>
              <w:t>Other needs and requirements</w:t>
            </w:r>
          </w:p>
        </w:tc>
      </w:tr>
      <w:tr w:rsidR="00D91C15" w14:paraId="582455A3" w14:textId="77777777" w:rsidTr="00C8664B">
        <w:trPr>
          <w:trHeight w:hRule="exact" w:val="480"/>
        </w:trPr>
        <w:tc>
          <w:tcPr>
            <w:tcW w:w="782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3F76F9E3" w14:textId="77777777" w:rsidR="00D91C15" w:rsidRDefault="00D91C15" w:rsidP="00C8664B">
            <w:pPr>
              <w:pStyle w:val="TableParagraph"/>
              <w:tabs>
                <w:tab w:val="left" w:pos="4915"/>
              </w:tabs>
              <w:spacing w:before="100"/>
            </w:pPr>
            <w:r>
              <w:t>Is there anything that will help you participate in this activity more fully?</w:t>
            </w: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25D43DE" w14:textId="77777777" w:rsidR="00D91C15" w:rsidRDefault="00D91C15" w:rsidP="00C8664B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Yes</w:t>
            </w:r>
          </w:p>
        </w:tc>
        <w:tc>
          <w:tcPr>
            <w:tcW w:w="67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F0183A6" w14:textId="77777777" w:rsidR="00D91C15" w:rsidRDefault="00D91C15" w:rsidP="00C8664B">
            <w:pPr>
              <w:pStyle w:val="TableParagraph"/>
              <w:tabs>
                <w:tab w:val="left" w:pos="4914"/>
                <w:tab w:val="left" w:pos="6714"/>
              </w:tabs>
              <w:spacing w:before="93"/>
              <w:jc w:val="center"/>
            </w:pPr>
            <w:r>
              <w:t>No</w:t>
            </w:r>
          </w:p>
        </w:tc>
      </w:tr>
      <w:tr w:rsidR="00D91C15" w14:paraId="51A9857D" w14:textId="77777777" w:rsidTr="00C8664B">
        <w:trPr>
          <w:trHeight w:hRule="exact" w:val="2348"/>
        </w:trPr>
        <w:tc>
          <w:tcPr>
            <w:tcW w:w="9214" w:type="dxa"/>
            <w:gridSpan w:val="4"/>
            <w:tcBorders>
              <w:top w:val="dotted" w:sz="4" w:space="0" w:color="000000"/>
            </w:tcBorders>
          </w:tcPr>
          <w:p w14:paraId="04F6425C" w14:textId="77777777" w:rsidR="00D91C15" w:rsidRDefault="00D91C15" w:rsidP="00C8664B">
            <w:pPr>
              <w:pStyle w:val="TableParagraph"/>
              <w:tabs>
                <w:tab w:val="left" w:pos="4914"/>
                <w:tab w:val="left" w:pos="6714"/>
              </w:tabs>
              <w:spacing w:before="93"/>
            </w:pPr>
            <w:bookmarkStart w:id="6" w:name="Email:"/>
            <w:bookmarkEnd w:id="6"/>
            <w:r w:rsidRPr="00FE36E4">
              <w:rPr>
                <w:i/>
              </w:rPr>
              <w:t>I</w:t>
            </w:r>
            <w:r w:rsidRPr="00EA0567">
              <w:rPr>
                <w:i/>
              </w:rPr>
              <w:t xml:space="preserve">f yes, please provide details </w:t>
            </w:r>
            <w:r>
              <w:rPr>
                <w:i/>
              </w:rPr>
              <w:t>eg</w:t>
            </w:r>
            <w:r w:rsidRPr="00EA0567">
              <w:rPr>
                <w:i/>
              </w:rPr>
              <w:t xml:space="preserve"> disability support worker, interpreter</w:t>
            </w:r>
            <w:r>
              <w:rPr>
                <w:i/>
              </w:rPr>
              <w:t xml:space="preserve">, closed captioning, hearing loop, central position to enable better hearing, etc. </w:t>
            </w:r>
          </w:p>
          <w:p w14:paraId="765C655D" w14:textId="77777777" w:rsidR="00D91C15" w:rsidRDefault="00D91C15" w:rsidP="00C8664B">
            <w:pPr>
              <w:pStyle w:val="TableParagraph"/>
              <w:spacing w:before="119"/>
            </w:pPr>
          </w:p>
        </w:tc>
      </w:tr>
    </w:tbl>
    <w:p w14:paraId="6F72EB0B" w14:textId="77777777" w:rsidR="00D91C15" w:rsidRDefault="00D91C15" w:rsidP="00D91C15">
      <w:pPr>
        <w:sectPr w:rsidR="00D91C15" w:rsidSect="00D91C15">
          <w:pgSz w:w="11910" w:h="16840"/>
          <w:pgMar w:top="840" w:right="1220" w:bottom="280" w:left="1240" w:header="720" w:footer="720" w:gutter="0"/>
          <w:cols w:space="720"/>
        </w:sectPr>
      </w:pPr>
    </w:p>
    <w:tbl>
      <w:tblPr>
        <w:tblW w:w="921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</w:tblGrid>
      <w:tr w:rsidR="00D91C15" w14:paraId="46630E47" w14:textId="77777777" w:rsidTr="00BC423A">
        <w:trPr>
          <w:trHeight w:hRule="exact" w:val="433"/>
        </w:trPr>
        <w:tc>
          <w:tcPr>
            <w:tcW w:w="9214" w:type="dxa"/>
            <w:tcBorders>
              <w:bottom w:val="dotted" w:sz="4" w:space="0" w:color="000000"/>
            </w:tcBorders>
            <w:shd w:val="clear" w:color="auto" w:fill="E1E1E1"/>
            <w:vAlign w:val="center"/>
          </w:tcPr>
          <w:p w14:paraId="26AFEEA6" w14:textId="77777777" w:rsidR="00D91C15" w:rsidRPr="00FE36E4" w:rsidRDefault="00D91C15" w:rsidP="00C8664B">
            <w:pPr>
              <w:pStyle w:val="TableParagraph"/>
              <w:spacing w:before="2"/>
              <w:rPr>
                <w:i/>
                <w:sz w:val="18"/>
              </w:rPr>
            </w:pPr>
            <w:bookmarkStart w:id="7" w:name="Current_landlord’s_detailsIf_you_are_cur"/>
            <w:bookmarkEnd w:id="7"/>
            <w:r w:rsidRPr="00FE36E4">
              <w:rPr>
                <w:i/>
                <w:sz w:val="24"/>
                <w:szCs w:val="24"/>
              </w:rPr>
              <w:t>Your responses to the following questions only need to be a brief sentence or two.</w:t>
            </w:r>
          </w:p>
        </w:tc>
      </w:tr>
      <w:tr w:rsidR="00D91C15" w14:paraId="4488B458" w14:textId="77777777" w:rsidTr="00BC423A">
        <w:trPr>
          <w:trHeight w:hRule="exact" w:val="739"/>
        </w:trPr>
        <w:tc>
          <w:tcPr>
            <w:tcW w:w="9214" w:type="dxa"/>
            <w:tcBorders>
              <w:bottom w:val="dotted" w:sz="4" w:space="0" w:color="000000"/>
            </w:tcBorders>
            <w:shd w:val="clear" w:color="auto" w:fill="E1E1E1"/>
          </w:tcPr>
          <w:p w14:paraId="61278791" w14:textId="77777777" w:rsidR="00D91C15" w:rsidRDefault="00D91C15" w:rsidP="00C8664B">
            <w:pPr>
              <w:pStyle w:val="TableParagraph"/>
              <w:spacing w:before="117"/>
              <w:rPr>
                <w:b/>
              </w:rPr>
            </w:pPr>
            <w:r w:rsidRPr="00FE4DD3">
              <w:rPr>
                <w:sz w:val="24"/>
                <w:szCs w:val="24"/>
              </w:rPr>
              <w:t>Please describe any experience (if any) as a health consumer representative including committees, focus groups, surveys, governance roles, etc.</w:t>
            </w:r>
          </w:p>
        </w:tc>
      </w:tr>
      <w:tr w:rsidR="00D91C15" w14:paraId="16E28714" w14:textId="77777777" w:rsidTr="00BC423A">
        <w:trPr>
          <w:trHeight w:hRule="exact" w:val="1955"/>
        </w:trPr>
        <w:tc>
          <w:tcPr>
            <w:tcW w:w="9214" w:type="dxa"/>
            <w:tcBorders>
              <w:top w:val="dotted" w:sz="4" w:space="0" w:color="000000"/>
              <w:bottom w:val="dotted" w:sz="4" w:space="0" w:color="000000"/>
            </w:tcBorders>
          </w:tcPr>
          <w:p w14:paraId="4B7B78AC" w14:textId="77777777" w:rsidR="00D91C15" w:rsidRDefault="00D91C15" w:rsidP="00C8664B">
            <w:pPr>
              <w:pStyle w:val="TableParagraph"/>
              <w:spacing w:before="97"/>
            </w:pPr>
          </w:p>
          <w:p w14:paraId="5AD13D1E" w14:textId="77777777" w:rsidR="00D91C15" w:rsidRDefault="00D91C15" w:rsidP="00C8664B">
            <w:pPr>
              <w:pStyle w:val="TableParagraph"/>
              <w:spacing w:before="97"/>
            </w:pPr>
          </w:p>
          <w:p w14:paraId="2822918D" w14:textId="77777777" w:rsidR="00D91C15" w:rsidRDefault="00D91C15" w:rsidP="00C8664B">
            <w:pPr>
              <w:pStyle w:val="TableParagraph"/>
              <w:spacing w:before="97"/>
            </w:pPr>
          </w:p>
          <w:p w14:paraId="5136860B" w14:textId="77777777" w:rsidR="00D91C15" w:rsidRDefault="00D91C15" w:rsidP="00C8664B">
            <w:pPr>
              <w:pStyle w:val="TableParagraph"/>
              <w:spacing w:before="97"/>
            </w:pPr>
          </w:p>
          <w:p w14:paraId="33C13A33" w14:textId="77777777" w:rsidR="00D91C15" w:rsidRDefault="00D91C15" w:rsidP="00C8664B">
            <w:pPr>
              <w:pStyle w:val="TableParagraph"/>
              <w:spacing w:before="97"/>
            </w:pPr>
          </w:p>
        </w:tc>
      </w:tr>
      <w:tr w:rsidR="00D91C15" w14:paraId="3454023D" w14:textId="77777777" w:rsidTr="00BC423A">
        <w:trPr>
          <w:trHeight w:hRule="exact" w:val="482"/>
        </w:trPr>
        <w:tc>
          <w:tcPr>
            <w:tcW w:w="921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D9D9D9" w:themeFill="background1" w:themeFillShade="D9"/>
          </w:tcPr>
          <w:p w14:paraId="0B64C7DC" w14:textId="77777777" w:rsidR="00D91C15" w:rsidRPr="007E2337" w:rsidRDefault="00D91C15" w:rsidP="00C8664B">
            <w:pPr>
              <w:pStyle w:val="TableParagraph"/>
              <w:spacing w:before="118"/>
              <w:rPr>
                <w:sz w:val="24"/>
                <w:szCs w:val="24"/>
              </w:rPr>
            </w:pPr>
            <w:r w:rsidRPr="007E2337">
              <w:rPr>
                <w:sz w:val="24"/>
                <w:szCs w:val="24"/>
              </w:rPr>
              <w:t xml:space="preserve">Please </w:t>
            </w:r>
            <w:r>
              <w:rPr>
                <w:sz w:val="24"/>
                <w:szCs w:val="24"/>
              </w:rPr>
              <w:t>describe</w:t>
            </w:r>
            <w:r w:rsidRPr="007E2337">
              <w:rPr>
                <w:sz w:val="24"/>
                <w:szCs w:val="24"/>
              </w:rPr>
              <w:t xml:space="preserve"> any </w:t>
            </w:r>
            <w:r>
              <w:rPr>
                <w:sz w:val="24"/>
                <w:szCs w:val="24"/>
              </w:rPr>
              <w:t>connections you have to your community (e.g. networks, groups)</w:t>
            </w:r>
          </w:p>
        </w:tc>
      </w:tr>
      <w:tr w:rsidR="00D91C15" w14:paraId="4C39ABAF" w14:textId="77777777" w:rsidTr="00BC423A">
        <w:trPr>
          <w:trHeight w:hRule="exact" w:val="2641"/>
        </w:trPr>
        <w:tc>
          <w:tcPr>
            <w:tcW w:w="9214" w:type="dxa"/>
            <w:tcBorders>
              <w:top w:val="dotted" w:sz="4" w:space="0" w:color="000000"/>
              <w:bottom w:val="dotted" w:sz="4" w:space="0" w:color="000000"/>
            </w:tcBorders>
          </w:tcPr>
          <w:p w14:paraId="15E6A44C" w14:textId="77777777" w:rsidR="00D91C15" w:rsidRDefault="00D91C15" w:rsidP="00C8664B">
            <w:pPr>
              <w:pStyle w:val="TableParagraph"/>
              <w:spacing w:before="100"/>
            </w:pPr>
          </w:p>
        </w:tc>
      </w:tr>
      <w:tr w:rsidR="00BC423A" w14:paraId="3F540022" w14:textId="77777777" w:rsidTr="00BC423A">
        <w:trPr>
          <w:trHeight w:hRule="exact" w:val="517"/>
        </w:trPr>
        <w:tc>
          <w:tcPr>
            <w:tcW w:w="9214" w:type="dxa"/>
            <w:tcBorders>
              <w:bottom w:val="dotted" w:sz="4" w:space="0" w:color="000000"/>
            </w:tcBorders>
            <w:shd w:val="clear" w:color="auto" w:fill="E1E1E1"/>
          </w:tcPr>
          <w:p w14:paraId="16330BAF" w14:textId="77777777" w:rsidR="00BC423A" w:rsidRDefault="00BC423A" w:rsidP="005108CA">
            <w:pPr>
              <w:pStyle w:val="TableParagraph"/>
              <w:spacing w:before="118"/>
              <w:rPr>
                <w:b/>
              </w:rPr>
            </w:pPr>
            <w:bookmarkStart w:id="8" w:name="References"/>
            <w:bookmarkEnd w:id="8"/>
            <w:r>
              <w:rPr>
                <w:sz w:val="24"/>
                <w:szCs w:val="24"/>
              </w:rPr>
              <w:t>Please describe your interest in this topic</w:t>
            </w:r>
          </w:p>
        </w:tc>
      </w:tr>
      <w:tr w:rsidR="00BC423A" w14:paraId="546856C7" w14:textId="77777777" w:rsidTr="00BC423A">
        <w:trPr>
          <w:trHeight w:hRule="exact" w:val="2329"/>
        </w:trPr>
        <w:tc>
          <w:tcPr>
            <w:tcW w:w="9214" w:type="dxa"/>
            <w:tcBorders>
              <w:top w:val="dotted" w:sz="4" w:space="0" w:color="000000"/>
              <w:bottom w:val="dotted" w:sz="4" w:space="0" w:color="000000"/>
            </w:tcBorders>
          </w:tcPr>
          <w:p w14:paraId="1495DDBD" w14:textId="77777777" w:rsidR="00BC423A" w:rsidRDefault="00BC423A" w:rsidP="005108CA">
            <w:pPr>
              <w:pStyle w:val="TableParagraph"/>
              <w:ind w:hanging="1"/>
            </w:pPr>
          </w:p>
        </w:tc>
      </w:tr>
      <w:tr w:rsidR="00D91C15" w14:paraId="48086E46" w14:textId="77777777" w:rsidTr="00BC423A">
        <w:trPr>
          <w:trHeight w:hRule="exact" w:val="1132"/>
        </w:trPr>
        <w:tc>
          <w:tcPr>
            <w:tcW w:w="9214" w:type="dxa"/>
            <w:tcBorders>
              <w:bottom w:val="dotted" w:sz="4" w:space="0" w:color="000000"/>
            </w:tcBorders>
            <w:shd w:val="clear" w:color="auto" w:fill="E1E1E1"/>
          </w:tcPr>
          <w:p w14:paraId="5B7C3BA1" w14:textId="64445C2E" w:rsidR="00D91C15" w:rsidRDefault="00BC423A" w:rsidP="00C8664B">
            <w:pPr>
              <w:pStyle w:val="TableParagraph"/>
              <w:spacing w:before="118"/>
              <w:rPr>
                <w:b/>
              </w:rPr>
            </w:pPr>
            <w:r>
              <w:rPr>
                <w:sz w:val="24"/>
                <w:szCs w:val="24"/>
              </w:rPr>
              <w:t>If applying for a position on the panel discussion, please advise any past speaking engagements you have been involved in</w:t>
            </w:r>
          </w:p>
        </w:tc>
      </w:tr>
      <w:tr w:rsidR="00D91C15" w14:paraId="4205909C" w14:textId="77777777" w:rsidTr="00BC423A">
        <w:trPr>
          <w:trHeight w:hRule="exact" w:val="2329"/>
        </w:trPr>
        <w:tc>
          <w:tcPr>
            <w:tcW w:w="9214" w:type="dxa"/>
            <w:tcBorders>
              <w:top w:val="dotted" w:sz="4" w:space="0" w:color="000000"/>
              <w:bottom w:val="dotted" w:sz="4" w:space="0" w:color="000000"/>
            </w:tcBorders>
          </w:tcPr>
          <w:p w14:paraId="067B44A8" w14:textId="77777777" w:rsidR="00D91C15" w:rsidRDefault="00D91C15" w:rsidP="00C8664B">
            <w:pPr>
              <w:pStyle w:val="TableParagraph"/>
              <w:ind w:hanging="1"/>
            </w:pPr>
          </w:p>
        </w:tc>
      </w:tr>
    </w:tbl>
    <w:p w14:paraId="6A89979F" w14:textId="77777777" w:rsidR="00D91C15" w:rsidRDefault="00D91C15" w:rsidP="00D91C15">
      <w:pPr>
        <w:rPr>
          <w:sz w:val="2"/>
          <w:szCs w:val="2"/>
        </w:rPr>
      </w:pPr>
    </w:p>
    <w:p w14:paraId="61A7F1D6" w14:textId="77777777" w:rsidR="00D91C15" w:rsidRDefault="00D91C15"/>
    <w:sectPr w:rsidR="00D91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514544" w16cid:durableId="20574629"/>
  <w16cid:commentId w16cid:paraId="7459D01F" w16cid:durableId="20574730"/>
  <w16cid:commentId w16cid:paraId="705781BA" w16cid:durableId="2059EFAD"/>
  <w16cid:commentId w16cid:paraId="7EA7A4F2" w16cid:durableId="20574689"/>
  <w16cid:commentId w16cid:paraId="18A36EE4" w16cid:durableId="20574B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882FB" w14:textId="77777777" w:rsidR="00F96A04" w:rsidRDefault="00F96A04" w:rsidP="00DD4E5A">
      <w:pPr>
        <w:spacing w:after="0" w:line="240" w:lineRule="auto"/>
      </w:pPr>
      <w:r>
        <w:separator/>
      </w:r>
    </w:p>
  </w:endnote>
  <w:endnote w:type="continuationSeparator" w:id="0">
    <w:p w14:paraId="08651B8F" w14:textId="77777777" w:rsidR="00F96A04" w:rsidRDefault="00F96A04" w:rsidP="00DD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83F0A" w14:textId="77777777" w:rsidR="00F96A04" w:rsidRDefault="00F96A04" w:rsidP="00DD4E5A">
      <w:pPr>
        <w:spacing w:after="0" w:line="240" w:lineRule="auto"/>
      </w:pPr>
      <w:r>
        <w:separator/>
      </w:r>
    </w:p>
  </w:footnote>
  <w:footnote w:type="continuationSeparator" w:id="0">
    <w:p w14:paraId="38661EFC" w14:textId="77777777" w:rsidR="00F96A04" w:rsidRDefault="00F96A04" w:rsidP="00DD4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316"/>
    <w:multiLevelType w:val="hybridMultilevel"/>
    <w:tmpl w:val="D070E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1C56"/>
    <w:multiLevelType w:val="hybridMultilevel"/>
    <w:tmpl w:val="E88C0988"/>
    <w:lvl w:ilvl="0" w:tplc="FCBAFAF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FF743E"/>
    <w:multiLevelType w:val="hybridMultilevel"/>
    <w:tmpl w:val="6AA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F093B"/>
    <w:multiLevelType w:val="hybridMultilevel"/>
    <w:tmpl w:val="92F40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7229DE"/>
    <w:multiLevelType w:val="hybridMultilevel"/>
    <w:tmpl w:val="E384D10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2C0A80"/>
    <w:multiLevelType w:val="hybridMultilevel"/>
    <w:tmpl w:val="EBE8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33"/>
    <w:rsid w:val="00010F7F"/>
    <w:rsid w:val="000354D0"/>
    <w:rsid w:val="00040394"/>
    <w:rsid w:val="00046A2D"/>
    <w:rsid w:val="00056A7C"/>
    <w:rsid w:val="00060953"/>
    <w:rsid w:val="000722C0"/>
    <w:rsid w:val="0008225F"/>
    <w:rsid w:val="00092825"/>
    <w:rsid w:val="000A1601"/>
    <w:rsid w:val="000A6B4C"/>
    <w:rsid w:val="000B457D"/>
    <w:rsid w:val="000B715B"/>
    <w:rsid w:val="000E75AA"/>
    <w:rsid w:val="000F0D6A"/>
    <w:rsid w:val="0010791B"/>
    <w:rsid w:val="0011039A"/>
    <w:rsid w:val="001104B4"/>
    <w:rsid w:val="001230E6"/>
    <w:rsid w:val="00123280"/>
    <w:rsid w:val="001605AB"/>
    <w:rsid w:val="001712A2"/>
    <w:rsid w:val="0017294D"/>
    <w:rsid w:val="0017756A"/>
    <w:rsid w:val="001A5911"/>
    <w:rsid w:val="001D3C7E"/>
    <w:rsid w:val="001F11E4"/>
    <w:rsid w:val="002015C1"/>
    <w:rsid w:val="0020521E"/>
    <w:rsid w:val="0021515C"/>
    <w:rsid w:val="00220DD6"/>
    <w:rsid w:val="00221209"/>
    <w:rsid w:val="00224AEB"/>
    <w:rsid w:val="002300C8"/>
    <w:rsid w:val="002404FE"/>
    <w:rsid w:val="0024599C"/>
    <w:rsid w:val="00296FE7"/>
    <w:rsid w:val="002976D5"/>
    <w:rsid w:val="002D1D78"/>
    <w:rsid w:val="00313A5D"/>
    <w:rsid w:val="00327BC1"/>
    <w:rsid w:val="00345BAC"/>
    <w:rsid w:val="00346801"/>
    <w:rsid w:val="00374428"/>
    <w:rsid w:val="003818A5"/>
    <w:rsid w:val="0038547B"/>
    <w:rsid w:val="003A0F63"/>
    <w:rsid w:val="003A2D97"/>
    <w:rsid w:val="003A54AF"/>
    <w:rsid w:val="003C0CCB"/>
    <w:rsid w:val="003C133B"/>
    <w:rsid w:val="003F341B"/>
    <w:rsid w:val="003F666F"/>
    <w:rsid w:val="00404B32"/>
    <w:rsid w:val="0042729A"/>
    <w:rsid w:val="00437711"/>
    <w:rsid w:val="00441363"/>
    <w:rsid w:val="004417B8"/>
    <w:rsid w:val="0048561A"/>
    <w:rsid w:val="004860BC"/>
    <w:rsid w:val="004A287C"/>
    <w:rsid w:val="004A67E9"/>
    <w:rsid w:val="004B46E1"/>
    <w:rsid w:val="004B79A1"/>
    <w:rsid w:val="004C6C09"/>
    <w:rsid w:val="004F01A1"/>
    <w:rsid w:val="004F302E"/>
    <w:rsid w:val="00500245"/>
    <w:rsid w:val="00503F58"/>
    <w:rsid w:val="00504983"/>
    <w:rsid w:val="00506723"/>
    <w:rsid w:val="005215A3"/>
    <w:rsid w:val="00523006"/>
    <w:rsid w:val="0053580D"/>
    <w:rsid w:val="00551E60"/>
    <w:rsid w:val="00557B75"/>
    <w:rsid w:val="00576792"/>
    <w:rsid w:val="005960BC"/>
    <w:rsid w:val="005D2D6A"/>
    <w:rsid w:val="005D55E5"/>
    <w:rsid w:val="005E6E68"/>
    <w:rsid w:val="00624D12"/>
    <w:rsid w:val="00635743"/>
    <w:rsid w:val="00643670"/>
    <w:rsid w:val="00650394"/>
    <w:rsid w:val="00656298"/>
    <w:rsid w:val="00672A30"/>
    <w:rsid w:val="0067599D"/>
    <w:rsid w:val="006910BD"/>
    <w:rsid w:val="00693A5D"/>
    <w:rsid w:val="006C256D"/>
    <w:rsid w:val="006D333B"/>
    <w:rsid w:val="006E341F"/>
    <w:rsid w:val="006F03E8"/>
    <w:rsid w:val="006F041F"/>
    <w:rsid w:val="006F7AFA"/>
    <w:rsid w:val="0072516B"/>
    <w:rsid w:val="007256C1"/>
    <w:rsid w:val="00742360"/>
    <w:rsid w:val="00743C30"/>
    <w:rsid w:val="00747245"/>
    <w:rsid w:val="007601D8"/>
    <w:rsid w:val="00765634"/>
    <w:rsid w:val="00796E09"/>
    <w:rsid w:val="007A3BC8"/>
    <w:rsid w:val="007A6202"/>
    <w:rsid w:val="007B328B"/>
    <w:rsid w:val="007B6779"/>
    <w:rsid w:val="007C580A"/>
    <w:rsid w:val="007C59DE"/>
    <w:rsid w:val="007C7D0E"/>
    <w:rsid w:val="007D0976"/>
    <w:rsid w:val="007E2337"/>
    <w:rsid w:val="007E7232"/>
    <w:rsid w:val="00811EE1"/>
    <w:rsid w:val="00843459"/>
    <w:rsid w:val="0086713F"/>
    <w:rsid w:val="008731CA"/>
    <w:rsid w:val="008752A8"/>
    <w:rsid w:val="00885236"/>
    <w:rsid w:val="00891B49"/>
    <w:rsid w:val="008C2AFF"/>
    <w:rsid w:val="008D3E05"/>
    <w:rsid w:val="00921232"/>
    <w:rsid w:val="00927EF0"/>
    <w:rsid w:val="009623A5"/>
    <w:rsid w:val="0097333B"/>
    <w:rsid w:val="00977DD7"/>
    <w:rsid w:val="00980229"/>
    <w:rsid w:val="0098132C"/>
    <w:rsid w:val="00982434"/>
    <w:rsid w:val="009826A2"/>
    <w:rsid w:val="00993339"/>
    <w:rsid w:val="009B5AB0"/>
    <w:rsid w:val="009B7F33"/>
    <w:rsid w:val="009D03CE"/>
    <w:rsid w:val="009D3583"/>
    <w:rsid w:val="009F3593"/>
    <w:rsid w:val="00A06605"/>
    <w:rsid w:val="00A131CA"/>
    <w:rsid w:val="00A52D77"/>
    <w:rsid w:val="00A57D67"/>
    <w:rsid w:val="00A75214"/>
    <w:rsid w:val="00A84B5A"/>
    <w:rsid w:val="00A87A6C"/>
    <w:rsid w:val="00AE4E4C"/>
    <w:rsid w:val="00B07F91"/>
    <w:rsid w:val="00B105EA"/>
    <w:rsid w:val="00B169F4"/>
    <w:rsid w:val="00B23C71"/>
    <w:rsid w:val="00B26094"/>
    <w:rsid w:val="00B34E00"/>
    <w:rsid w:val="00B420F5"/>
    <w:rsid w:val="00B4580E"/>
    <w:rsid w:val="00B536EC"/>
    <w:rsid w:val="00B54F48"/>
    <w:rsid w:val="00B70AEE"/>
    <w:rsid w:val="00B765B7"/>
    <w:rsid w:val="00B946A9"/>
    <w:rsid w:val="00BA236C"/>
    <w:rsid w:val="00BC423A"/>
    <w:rsid w:val="00BC7CD4"/>
    <w:rsid w:val="00BD41AA"/>
    <w:rsid w:val="00BE6057"/>
    <w:rsid w:val="00BF5104"/>
    <w:rsid w:val="00C0024A"/>
    <w:rsid w:val="00C004F6"/>
    <w:rsid w:val="00C01BC3"/>
    <w:rsid w:val="00C0334D"/>
    <w:rsid w:val="00C074DD"/>
    <w:rsid w:val="00C10735"/>
    <w:rsid w:val="00C155E0"/>
    <w:rsid w:val="00C23929"/>
    <w:rsid w:val="00C51E49"/>
    <w:rsid w:val="00C62DFE"/>
    <w:rsid w:val="00C63FDB"/>
    <w:rsid w:val="00C72B1F"/>
    <w:rsid w:val="00C76CDC"/>
    <w:rsid w:val="00CB47F7"/>
    <w:rsid w:val="00CC3E64"/>
    <w:rsid w:val="00CC3F2E"/>
    <w:rsid w:val="00CC4989"/>
    <w:rsid w:val="00CD1DC9"/>
    <w:rsid w:val="00CD3DB3"/>
    <w:rsid w:val="00CD734C"/>
    <w:rsid w:val="00D131F7"/>
    <w:rsid w:val="00D14888"/>
    <w:rsid w:val="00D16517"/>
    <w:rsid w:val="00D22EB6"/>
    <w:rsid w:val="00D5339E"/>
    <w:rsid w:val="00D547CE"/>
    <w:rsid w:val="00D561A0"/>
    <w:rsid w:val="00D75F4B"/>
    <w:rsid w:val="00D91C15"/>
    <w:rsid w:val="00D929AD"/>
    <w:rsid w:val="00DB507D"/>
    <w:rsid w:val="00DC5763"/>
    <w:rsid w:val="00DD4E5A"/>
    <w:rsid w:val="00DE2186"/>
    <w:rsid w:val="00E066C2"/>
    <w:rsid w:val="00E123E4"/>
    <w:rsid w:val="00E1279A"/>
    <w:rsid w:val="00E43779"/>
    <w:rsid w:val="00E54142"/>
    <w:rsid w:val="00E61916"/>
    <w:rsid w:val="00E61F9A"/>
    <w:rsid w:val="00E6738D"/>
    <w:rsid w:val="00E75ABC"/>
    <w:rsid w:val="00E9153B"/>
    <w:rsid w:val="00EA54EC"/>
    <w:rsid w:val="00EC0ED3"/>
    <w:rsid w:val="00EC6170"/>
    <w:rsid w:val="00ED79F2"/>
    <w:rsid w:val="00EF02C5"/>
    <w:rsid w:val="00F04D09"/>
    <w:rsid w:val="00F106AE"/>
    <w:rsid w:val="00F168F4"/>
    <w:rsid w:val="00F17AEA"/>
    <w:rsid w:val="00F27D7A"/>
    <w:rsid w:val="00F30AC3"/>
    <w:rsid w:val="00F425F2"/>
    <w:rsid w:val="00F42B8A"/>
    <w:rsid w:val="00F4319F"/>
    <w:rsid w:val="00F62687"/>
    <w:rsid w:val="00F70802"/>
    <w:rsid w:val="00F74410"/>
    <w:rsid w:val="00F77E8E"/>
    <w:rsid w:val="00F87747"/>
    <w:rsid w:val="00F96A04"/>
    <w:rsid w:val="00FA073E"/>
    <w:rsid w:val="00FC71E4"/>
    <w:rsid w:val="00FD4F29"/>
    <w:rsid w:val="00FD74AE"/>
    <w:rsid w:val="00FD7D67"/>
    <w:rsid w:val="00FD7EAF"/>
    <w:rsid w:val="00FE50A2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9EC2D36"/>
  <w15:docId w15:val="{8730B352-8E47-4037-9E4F-39889FA8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F3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B7F33"/>
    <w:rPr>
      <w:b/>
      <w:bCs/>
    </w:rPr>
  </w:style>
  <w:style w:type="paragraph" w:customStyle="1" w:styleId="Default">
    <w:name w:val="Default"/>
    <w:rsid w:val="003744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D0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D6A"/>
    <w:pPr>
      <w:spacing w:after="200" w:line="276" w:lineRule="auto"/>
      <w:ind w:left="720"/>
    </w:pPr>
    <w:rPr>
      <w:rFonts w:ascii="Calibri" w:eastAsia="Calibri" w:hAnsi="Calibri" w:cs="Times New Roman"/>
      <w:lang w:eastAsia="en-AU"/>
    </w:rPr>
  </w:style>
  <w:style w:type="paragraph" w:styleId="NoSpacing">
    <w:name w:val="No Spacing"/>
    <w:uiPriority w:val="1"/>
    <w:qFormat/>
    <w:rsid w:val="000F0D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4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E5A"/>
  </w:style>
  <w:style w:type="paragraph" w:styleId="Footer">
    <w:name w:val="footer"/>
    <w:basedOn w:val="Normal"/>
    <w:link w:val="FooterChar"/>
    <w:uiPriority w:val="99"/>
    <w:unhideWhenUsed/>
    <w:rsid w:val="00DD4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E5A"/>
  </w:style>
  <w:style w:type="paragraph" w:styleId="BalloonText">
    <w:name w:val="Balloon Text"/>
    <w:basedOn w:val="Normal"/>
    <w:link w:val="BalloonTextChar"/>
    <w:uiPriority w:val="99"/>
    <w:semiHidden/>
    <w:unhideWhenUsed/>
    <w:rsid w:val="008C2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0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6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6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6AE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91C15"/>
    <w:pPr>
      <w:widowControl w:val="0"/>
      <w:spacing w:after="0" w:line="240" w:lineRule="auto"/>
      <w:ind w:left="120" w:right="104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1C15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D91C15"/>
    <w:pPr>
      <w:widowControl w:val="0"/>
      <w:spacing w:after="0" w:line="240" w:lineRule="auto"/>
      <w:ind w:left="103" w:right="120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taylor@hcq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Health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Georgina Lawson</dc:creator>
  <cp:lastModifiedBy>Michael Taylor</cp:lastModifiedBy>
  <cp:revision>7</cp:revision>
  <cp:lastPrinted>2016-12-01T02:17:00Z</cp:lastPrinted>
  <dcterms:created xsi:type="dcterms:W3CDTF">2019-04-11T21:46:00Z</dcterms:created>
  <dcterms:modified xsi:type="dcterms:W3CDTF">2019-04-11T22:10:00Z</dcterms:modified>
</cp:coreProperties>
</file>