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7C" w:rsidRPr="00CF307C" w:rsidRDefault="007B1118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Application</w:t>
      </w:r>
      <w:r w:rsidR="00CF307C">
        <w:rPr>
          <w:sz w:val="36"/>
        </w:rPr>
        <w:t xml:space="preserve"> for </w:t>
      </w:r>
      <w:r w:rsidR="00CF307C" w:rsidRPr="00CF307C">
        <w:rPr>
          <w:sz w:val="36"/>
        </w:rPr>
        <w:t>Steering Committee Member</w:t>
      </w:r>
    </w:p>
    <w:p w:rsidR="007A67B5" w:rsidRDefault="00CF307C" w:rsidP="007A67B5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 w:rsidRPr="00CF307C">
        <w:rPr>
          <w:sz w:val="36"/>
        </w:rPr>
        <w:t>F</w:t>
      </w:r>
      <w:r>
        <w:rPr>
          <w:sz w:val="36"/>
        </w:rPr>
        <w:t>uture of Healthcare Queensland P</w:t>
      </w:r>
      <w:r w:rsidRPr="00CF307C">
        <w:rPr>
          <w:sz w:val="36"/>
        </w:rPr>
        <w:t xml:space="preserve">roject </w:t>
      </w:r>
    </w:p>
    <w:p w:rsidR="00CF307C" w:rsidRPr="00CF307C" w:rsidRDefault="00CF307C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>Closing date: COB 25 July 2019</w:t>
      </w:r>
    </w:p>
    <w:p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:rsidR="007A67B5" w:rsidRPr="00896547" w:rsidRDefault="007A67B5" w:rsidP="003F475C">
      <w:pPr>
        <w:ind w:left="720" w:right="-755"/>
        <w:rPr>
          <w:b/>
        </w:rPr>
      </w:pPr>
      <w:r w:rsidRPr="00896547">
        <w:rPr>
          <w:b/>
        </w:rPr>
        <w:t xml:space="preserve">The </w:t>
      </w:r>
      <w:r>
        <w:rPr>
          <w:b/>
        </w:rPr>
        <w:t>Department of Health</w:t>
      </w:r>
      <w:r w:rsidRPr="00896547">
        <w:rPr>
          <w:b/>
        </w:rPr>
        <w:t xml:space="preserve"> is providing a </w:t>
      </w:r>
      <w:r>
        <w:rPr>
          <w:b/>
        </w:rPr>
        <w:t xml:space="preserve">health </w:t>
      </w:r>
      <w:r w:rsidRPr="00896547">
        <w:rPr>
          <w:b/>
        </w:rPr>
        <w:t xml:space="preserve">consumer representative a unique opportunity to participate on the </w:t>
      </w:r>
      <w:r>
        <w:rPr>
          <w:b/>
        </w:rPr>
        <w:t>Steering</w:t>
      </w:r>
      <w:r w:rsidRPr="00896547">
        <w:rPr>
          <w:b/>
        </w:rPr>
        <w:t xml:space="preserve"> Committee for the </w:t>
      </w:r>
      <w:r w:rsidRPr="00896547">
        <w:rPr>
          <w:b/>
          <w:i/>
        </w:rPr>
        <w:t xml:space="preserve">Future of healthcare in Queensland </w:t>
      </w:r>
      <w:r w:rsidRPr="00896547">
        <w:rPr>
          <w:b/>
        </w:rPr>
        <w:t xml:space="preserve">project.   </w:t>
      </w:r>
    </w:p>
    <w:p w:rsidR="007A67B5" w:rsidRPr="0016572A" w:rsidRDefault="007A67B5" w:rsidP="003F475C">
      <w:pPr>
        <w:ind w:left="720" w:right="-755"/>
      </w:pPr>
      <w:r>
        <w:t>The Department of Health is</w:t>
      </w:r>
      <w:r w:rsidRPr="0016572A">
        <w:t xml:space="preserve"> </w:t>
      </w:r>
      <w:r>
        <w:t>currently collaborating with</w:t>
      </w:r>
      <w:r w:rsidRPr="008337FE">
        <w:rPr>
          <w:rFonts w:ascii="Arial" w:hAnsi="Arial" w:cs="Arial"/>
        </w:rPr>
        <w:t xml:space="preserve"> </w:t>
      </w:r>
      <w:r w:rsidRPr="009365FB">
        <w:rPr>
          <w:rFonts w:cstheme="minorHAnsi"/>
        </w:rPr>
        <w:t>the C</w:t>
      </w:r>
      <w:r w:rsidRPr="008337FE">
        <w:t xml:space="preserve">ommonwealth Scientific and Industrial Research </w:t>
      </w:r>
      <w:proofErr w:type="spellStart"/>
      <w:r w:rsidRPr="008337FE">
        <w:t>Organisation’s</w:t>
      </w:r>
      <w:proofErr w:type="spellEnd"/>
      <w:r w:rsidRPr="008337FE">
        <w:t xml:space="preserve"> (CSIRO</w:t>
      </w:r>
      <w:r>
        <w:t xml:space="preserve">) to undertake the </w:t>
      </w:r>
      <w:r w:rsidRPr="00896547">
        <w:rPr>
          <w:i/>
        </w:rPr>
        <w:t>Future of healthcare in Queensland</w:t>
      </w:r>
      <w:r>
        <w:rPr>
          <w:i/>
        </w:rPr>
        <w:t xml:space="preserve"> </w:t>
      </w:r>
      <w:r w:rsidRPr="009218E8">
        <w:t>project.</w:t>
      </w:r>
      <w:r>
        <w:t xml:space="preserve"> This is an exciting research project that will look at megatrends, risks and future scenarios to 2040 to </w:t>
      </w:r>
      <w:r w:rsidRPr="00896547">
        <w:t xml:space="preserve">inform </w:t>
      </w:r>
      <w:r>
        <w:t xml:space="preserve">Queensland Health’s policy, </w:t>
      </w:r>
      <w:r w:rsidRPr="00896547">
        <w:t>planning and strategic decision making</w:t>
      </w:r>
      <w:r>
        <w:t xml:space="preserve"> in the future.</w:t>
      </w:r>
      <w:r w:rsidRPr="00896547">
        <w:t xml:space="preserve"> </w:t>
      </w:r>
    </w:p>
    <w:p w:rsidR="007A67B5" w:rsidRPr="00F22F52" w:rsidRDefault="007A67B5" w:rsidP="007A67B5">
      <w:pPr>
        <w:ind w:right="-755"/>
        <w:rPr>
          <w:rStyle w:val="Hyperlink"/>
          <w:bCs/>
          <w:color w:val="9B1D54"/>
          <w:sz w:val="28"/>
          <w:szCs w:val="28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:rsidR="007A67B5" w:rsidRPr="00C65182" w:rsidRDefault="007A67B5" w:rsidP="003F475C">
      <w:pPr>
        <w:ind w:left="720" w:right="-755"/>
      </w:pPr>
      <w:r w:rsidRPr="008337FE">
        <w:t>The</w:t>
      </w:r>
      <w:r w:rsidRPr="006D333B">
        <w:t xml:space="preserve"> purpose </w:t>
      </w:r>
      <w:r>
        <w:t xml:space="preserve">of the Steering Committee is </w:t>
      </w:r>
      <w:r w:rsidRPr="00C65182">
        <w:t>to oversee</w:t>
      </w:r>
      <w:r>
        <w:t xml:space="preserve"> and guide </w:t>
      </w:r>
      <w:r w:rsidRPr="00C65182">
        <w:t>the</w:t>
      </w:r>
      <w:r>
        <w:t xml:space="preserve"> project, which </w:t>
      </w:r>
      <w:proofErr w:type="gramStart"/>
      <w:r>
        <w:t>is being led</w:t>
      </w:r>
      <w:proofErr w:type="gramEnd"/>
      <w:r>
        <w:t xml:space="preserve"> by the CSIRO</w:t>
      </w:r>
      <w:r w:rsidRPr="00C65182">
        <w:t>.</w:t>
      </w:r>
    </w:p>
    <w:p w:rsidR="007A67B5" w:rsidRPr="008337FE" w:rsidRDefault="007A67B5" w:rsidP="003F475C">
      <w:pPr>
        <w:ind w:left="720" w:right="-755"/>
      </w:pPr>
      <w:r>
        <w:t xml:space="preserve">The Steering Committee consists of six other </w:t>
      </w:r>
      <w:r w:rsidRPr="008337FE">
        <w:t>Qu</w:t>
      </w:r>
      <w:r>
        <w:t>eensland Government executives, scientific researchers and the Board Chair of Health Consumers Queensland</w:t>
      </w:r>
      <w:r w:rsidRPr="008337FE">
        <w:t>.</w:t>
      </w:r>
    </w:p>
    <w:p w:rsidR="007A67B5" w:rsidRDefault="007A67B5" w:rsidP="003F475C">
      <w:pPr>
        <w:ind w:left="720" w:right="-755"/>
      </w:pPr>
      <w:r>
        <w:t xml:space="preserve">The </w:t>
      </w:r>
      <w:r w:rsidRPr="008337FE">
        <w:t>Terms of Reference</w:t>
      </w:r>
      <w:r>
        <w:t>, project plan and supporting papers,</w:t>
      </w:r>
      <w:r w:rsidRPr="008337FE">
        <w:t xml:space="preserve"> </w:t>
      </w:r>
      <w:proofErr w:type="gramStart"/>
      <w:r w:rsidRPr="008337FE">
        <w:t xml:space="preserve">will be </w:t>
      </w:r>
      <w:r>
        <w:t>provided</w:t>
      </w:r>
      <w:proofErr w:type="gramEnd"/>
      <w:r w:rsidRPr="008337FE">
        <w:t xml:space="preserve"> to the successful applicant before the inaugural Steering Committee meeting. </w:t>
      </w:r>
    </w:p>
    <w:p w:rsidR="007A67B5" w:rsidRPr="008337FE" w:rsidRDefault="007A67B5" w:rsidP="003F475C">
      <w:pPr>
        <w:ind w:left="720" w:right="-755"/>
      </w:pPr>
      <w:r>
        <w:t xml:space="preserve">Department of Health staff are also available to meet with the consumer prior to the meetings to discuss the project progress and Steering Committee agenda. </w:t>
      </w:r>
    </w:p>
    <w:p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:rsidR="007A67B5" w:rsidRPr="000128AD" w:rsidRDefault="007A67B5" w:rsidP="003F475C">
      <w:pPr>
        <w:ind w:left="720" w:right="-755"/>
        <w:rPr>
          <w:rStyle w:val="Hyperlink"/>
        </w:rPr>
      </w:pPr>
      <w:r w:rsidRPr="00C65182">
        <w:t xml:space="preserve">The role of the successful applicant </w:t>
      </w:r>
      <w:r>
        <w:t xml:space="preserve">will be to attend </w:t>
      </w:r>
      <w:r w:rsidRPr="00C65182">
        <w:t>all Steering Committee</w:t>
      </w:r>
      <w:r>
        <w:t xml:space="preserve"> meetings and </w:t>
      </w:r>
      <w:proofErr w:type="gramStart"/>
      <w:r>
        <w:t>to a</w:t>
      </w:r>
      <w:r w:rsidRPr="00C65182">
        <w:t>ctively participate</w:t>
      </w:r>
      <w:proofErr w:type="gramEnd"/>
      <w:r w:rsidRPr="00C65182">
        <w:t xml:space="preserve"> in all Steering Committee activities such as </w:t>
      </w:r>
      <w:r>
        <w:t xml:space="preserve">pre-meeting reading, discussions, provision of feedback and advice. </w:t>
      </w:r>
    </w:p>
    <w:p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Who is it </w:t>
      </w:r>
      <w:proofErr w:type="gramStart"/>
      <w:r w:rsidRPr="007A67B5">
        <w:rPr>
          <w:rStyle w:val="Hyperlink"/>
          <w:bCs/>
          <w:color w:val="9B1D54"/>
          <w:sz w:val="28"/>
          <w:szCs w:val="28"/>
          <w:u w:val="none"/>
        </w:rPr>
        <w:t>for</w:t>
      </w:r>
      <w:proofErr w:type="gramEnd"/>
      <w:r w:rsidRPr="007A67B5">
        <w:rPr>
          <w:rStyle w:val="Hyperlink"/>
          <w:bCs/>
          <w:color w:val="9B1D54"/>
          <w:sz w:val="28"/>
          <w:szCs w:val="28"/>
          <w:u w:val="none"/>
        </w:rPr>
        <w:t>?</w:t>
      </w:r>
    </w:p>
    <w:p w:rsidR="007A67B5" w:rsidRPr="00790956" w:rsidRDefault="007A67B5" w:rsidP="003F475C">
      <w:pPr>
        <w:ind w:left="720" w:right="-755"/>
        <w:rPr>
          <w:rStyle w:val="Hyperlink"/>
          <w:bCs/>
          <w:color w:val="9B1D54"/>
          <w:sz w:val="28"/>
          <w:szCs w:val="28"/>
        </w:rPr>
      </w:pPr>
      <w:r>
        <w:t>The ideal candidate</w:t>
      </w:r>
      <w:r w:rsidRPr="00790956">
        <w:t xml:space="preserve"> </w:t>
      </w:r>
      <w:r w:rsidRPr="00C65182">
        <w:t xml:space="preserve">will be </w:t>
      </w:r>
      <w:r>
        <w:t xml:space="preserve">someone with a lived experience of the health system and have broad connections to the community with a strong </w:t>
      </w:r>
      <w:r w:rsidRPr="00790956">
        <w:t xml:space="preserve">understanding </w:t>
      </w:r>
      <w:r>
        <w:t xml:space="preserve">and experience </w:t>
      </w:r>
      <w:r w:rsidRPr="00790956">
        <w:t>of the</w:t>
      </w:r>
      <w:r>
        <w:t xml:space="preserve"> Queensland Health </w:t>
      </w:r>
      <w:r w:rsidRPr="00790956">
        <w:t>system</w:t>
      </w:r>
      <w:r>
        <w:t xml:space="preserve">, understanding of government processes, </w:t>
      </w:r>
      <w:r w:rsidRPr="002777EB">
        <w:t>structures</w:t>
      </w:r>
      <w:r>
        <w:t xml:space="preserve"> and responsibilities sitting on a committee</w:t>
      </w:r>
      <w:r w:rsidRPr="002777EB">
        <w:t>.</w:t>
      </w:r>
      <w:r>
        <w:t xml:space="preserve"> </w:t>
      </w:r>
      <w:proofErr w:type="gramStart"/>
      <w:r>
        <w:t>Ideally</w:t>
      </w:r>
      <w:proofErr w:type="gramEnd"/>
      <w:r>
        <w:t xml:space="preserve"> the candidate w</w:t>
      </w:r>
      <w:r w:rsidRPr="00790956">
        <w:t xml:space="preserve">ill also have </w:t>
      </w:r>
      <w:r>
        <w:t>critical analysis skills</w:t>
      </w:r>
      <w:r w:rsidRPr="00790956">
        <w:t xml:space="preserve"> </w:t>
      </w:r>
      <w:r>
        <w:t xml:space="preserve">and </w:t>
      </w:r>
      <w:r w:rsidRPr="00790956">
        <w:t xml:space="preserve">experience providing </w:t>
      </w:r>
      <w:r>
        <w:t>consumer feedback.</w:t>
      </w:r>
      <w:r w:rsidRPr="00790956">
        <w:rPr>
          <w:rStyle w:val="Hyperlink"/>
          <w:bCs/>
          <w:color w:val="9B1D54"/>
          <w:sz w:val="28"/>
          <w:szCs w:val="28"/>
        </w:rPr>
        <w:t xml:space="preserve">  </w:t>
      </w:r>
    </w:p>
    <w:p w:rsidR="003F475C" w:rsidRDefault="003F475C">
      <w:pPr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br w:type="page"/>
      </w:r>
    </w:p>
    <w:p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 xml:space="preserve">Time and location </w:t>
      </w:r>
    </w:p>
    <w:p w:rsidR="007A67B5" w:rsidRDefault="007A67B5" w:rsidP="003F475C">
      <w:pPr>
        <w:autoSpaceDE w:val="0"/>
        <w:autoSpaceDN w:val="0"/>
        <w:adjustRightInd w:val="0"/>
        <w:spacing w:after="120" w:line="240" w:lineRule="auto"/>
        <w:ind w:left="720"/>
      </w:pPr>
      <w:r>
        <w:t>The S</w:t>
      </w:r>
      <w:r w:rsidRPr="00C65182">
        <w:t xml:space="preserve">teering </w:t>
      </w:r>
      <w:r>
        <w:t>C</w:t>
      </w:r>
      <w:r w:rsidRPr="00C65182">
        <w:t xml:space="preserve">ommittee </w:t>
      </w:r>
      <w:r>
        <w:t xml:space="preserve">will </w:t>
      </w:r>
      <w:r w:rsidRPr="00C65182">
        <w:t>meet approximately every two months over the project timeframe of July 2019 to June 2020. The inaugural meeting will be held on 31 July 2019, 2.30-4.00pm</w:t>
      </w:r>
      <w:r>
        <w:t xml:space="preserve"> in </w:t>
      </w:r>
      <w:proofErr w:type="gramStart"/>
      <w:r>
        <w:t>Brisbane,</w:t>
      </w:r>
      <w:proofErr w:type="gramEnd"/>
      <w:r>
        <w:t xml:space="preserve"> however the consumer will not necessarily be expected to attend this first meeting due to short notice.</w:t>
      </w:r>
    </w:p>
    <w:p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:rsidR="007A67B5" w:rsidRPr="00DE276A" w:rsidRDefault="007A67B5" w:rsidP="003F475C">
      <w:pPr>
        <w:ind w:left="720"/>
      </w:pPr>
      <w:r w:rsidRPr="00DE276A">
        <w:t xml:space="preserve">Consumers </w:t>
      </w:r>
      <w:proofErr w:type="gramStart"/>
      <w:r w:rsidRPr="00DE276A">
        <w:t>will be remunerated</w:t>
      </w:r>
      <w:proofErr w:type="gramEnd"/>
      <w:r w:rsidRPr="00DE276A">
        <w:t xml:space="preserve"> for their time in line with </w:t>
      </w:r>
      <w:hyperlink r:id="rId7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  <w:r>
        <w:t xml:space="preserve">Parking and travel expenses will be covered. </w:t>
      </w:r>
    </w:p>
    <w:p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:rsidR="007A67B5" w:rsidRPr="002933DA" w:rsidRDefault="007A67B5" w:rsidP="003F475C">
      <w:pPr>
        <w:ind w:left="720"/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8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>by 25 July 2019.</w:t>
      </w:r>
      <w:r w:rsidRPr="00996C71">
        <w:rPr>
          <w:rStyle w:val="Hyperlink"/>
          <w:b/>
          <w:color w:val="auto"/>
        </w:rPr>
        <w:t xml:space="preserve"> </w:t>
      </w:r>
    </w:p>
    <w:p w:rsidR="007A67B5" w:rsidRDefault="007A67B5" w:rsidP="003F475C">
      <w:pPr>
        <w:ind w:left="720"/>
      </w:pPr>
      <w:r w:rsidRPr="00F274C6">
        <w:t xml:space="preserve">For assistance please contact Health Consumers Queensland via </w:t>
      </w:r>
      <w:hyperlink r:id="rId9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:rsidR="00066EF2" w:rsidRDefault="00066EF2" w:rsidP="00066EF2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</w:p>
    <w:p w:rsidR="007A67B5" w:rsidRDefault="007A67B5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:rsidR="00FD57CA" w:rsidRDefault="007A67B5" w:rsidP="00996C7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Steering Committee member </w:t>
      </w:r>
    </w:p>
    <w:p w:rsidR="00947678" w:rsidRPr="00996C71" w:rsidRDefault="007A67B5" w:rsidP="00996C7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Future of Healthcare Queensland project</w:t>
      </w:r>
    </w:p>
    <w:p w:rsidR="008C3230" w:rsidRPr="00567FA9" w:rsidRDefault="008C3230" w:rsidP="00066EF2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  <w:bookmarkStart w:id="0" w:name="_GoBack"/>
      <w:bookmarkEnd w:id="0"/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 xml:space="preserve">(Applications not retained </w:t>
      </w:r>
      <w:proofErr w:type="gramStart"/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are destroyed</w:t>
      </w:r>
      <w:proofErr w:type="gramEnd"/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 xml:space="preserve">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0"/>
          <w:footerReference w:type="default" r:id="rId11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highlight any group you identify as being a part </w:t>
      </w:r>
      <w:proofErr w:type="gramStart"/>
      <w:r w:rsidRPr="00567FA9">
        <w:rPr>
          <w:rFonts w:asciiTheme="minorHAnsi" w:hAnsiTheme="minorHAnsi" w:cstheme="minorHAnsi"/>
          <w:color w:val="auto"/>
          <w:sz w:val="22"/>
        </w:rPr>
        <w:t>of</w:t>
      </w:r>
      <w:proofErr w:type="gramEnd"/>
      <w:r w:rsidRPr="00567FA9">
        <w:rPr>
          <w:rFonts w:asciiTheme="minorHAnsi" w:hAnsiTheme="minorHAnsi" w:cstheme="minorHAnsi"/>
          <w:color w:val="auto"/>
          <w:sz w:val="22"/>
        </w:rPr>
        <w:t>: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:rsidR="00553171" w:rsidRPr="00567FA9" w:rsidRDefault="00FD57CA" w:rsidP="00FD57CA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describe your experience as a consumer representative in high level and strategic roles, including </w:t>
      </w:r>
      <w:proofErr w:type="spellStart"/>
      <w:r w:rsidRPr="00567FA9">
        <w:rPr>
          <w:rFonts w:asciiTheme="minorHAnsi" w:hAnsiTheme="minorHAnsi" w:cstheme="minorHAnsi"/>
          <w:color w:val="auto"/>
          <w:sz w:val="22"/>
        </w:rPr>
        <w:t>statewide</w:t>
      </w:r>
      <w:proofErr w:type="spellEnd"/>
      <w:r w:rsidRPr="00567FA9">
        <w:rPr>
          <w:rFonts w:asciiTheme="minorHAnsi" w:hAnsiTheme="minorHAnsi" w:cstheme="minorHAnsi"/>
          <w:color w:val="auto"/>
          <w:sz w:val="22"/>
        </w:rPr>
        <w:t xml:space="preserve"> co</w:t>
      </w:r>
      <w:r w:rsidR="007B7AC0" w:rsidRPr="00567FA9">
        <w:rPr>
          <w:rFonts w:asciiTheme="minorHAnsi" w:hAnsiTheme="minorHAnsi" w:cstheme="minorHAnsi"/>
          <w:color w:val="auto"/>
          <w:sz w:val="22"/>
        </w:rPr>
        <w:t xml:space="preserve">mmittees, governance roles etc. </w:t>
      </w:r>
      <w:r w:rsidRPr="00567FA9">
        <w:rPr>
          <w:rFonts w:asciiTheme="minorHAnsi" w:hAnsiTheme="minorHAnsi" w:cstheme="minorHAnsi"/>
          <w:color w:val="auto"/>
          <w:sz w:val="22"/>
        </w:rPr>
        <w:t>(250 words max)</w:t>
      </w:r>
      <w:r w:rsidR="00553171" w:rsidRPr="00567FA9"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</w:t>
      </w:r>
      <w:proofErr w:type="gramStart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opportunity</w:t>
      </w:r>
      <w:proofErr w:type="gramEnd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you’re expressing interest in. Give an indication </w:t>
      </w:r>
      <w:proofErr w:type="gramStart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of how long each position was for, and any relevant highlights</w:t>
      </w:r>
      <w:proofErr w:type="gramEnd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. </w:t>
      </w: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:rsidR="008A7949" w:rsidRPr="00567FA9" w:rsidRDefault="008A7949" w:rsidP="008A7949">
      <w:pPr>
        <w:pStyle w:val="TableParagraph"/>
        <w:numPr>
          <w:ilvl w:val="0"/>
          <w:numId w:val="1"/>
        </w:numPr>
        <w:rPr>
          <w:b/>
        </w:rPr>
      </w:pPr>
      <w:r w:rsidRPr="00567FA9">
        <w:rPr>
          <w:b/>
        </w:rPr>
        <w:t xml:space="preserve">Please give a brief overview of your past, current or future use of the Queensland Health system as a consumer or </w:t>
      </w:r>
      <w:proofErr w:type="spellStart"/>
      <w:r w:rsidRPr="00567FA9">
        <w:rPr>
          <w:b/>
        </w:rPr>
        <w:t>carer</w:t>
      </w:r>
      <w:proofErr w:type="spellEnd"/>
      <w:r w:rsidRPr="00567FA9">
        <w:rPr>
          <w:b/>
        </w:rPr>
        <w:t xml:space="preserve"> in 250 words. </w:t>
      </w:r>
    </w:p>
    <w:p w:rsidR="008012D5" w:rsidRPr="00567FA9" w:rsidRDefault="008012D5" w:rsidP="008012D5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Think about how this relates to the role </w:t>
      </w:r>
      <w:proofErr w:type="gramStart"/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you’re</w:t>
      </w:r>
      <w:proofErr w:type="gramEnd"/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applying for. </w:t>
      </w:r>
    </w:p>
    <w:p w:rsidR="008012D5" w:rsidRPr="00567FA9" w:rsidRDefault="008012D5" w:rsidP="00553171">
      <w:pPr>
        <w:pStyle w:val="TableParagraph"/>
        <w:spacing w:before="118"/>
      </w:pPr>
    </w:p>
    <w:p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8012D5" w:rsidRPr="00567FA9" w:rsidRDefault="00FD0A44" w:rsidP="00FD0A44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proofErr w:type="gramStart"/>
      <w:r w:rsidRPr="00567FA9">
        <w:rPr>
          <w:rFonts w:asciiTheme="minorHAnsi" w:hAnsiTheme="minorHAnsi" w:cstheme="minorHAnsi"/>
          <w:color w:val="auto"/>
          <w:sz w:val="22"/>
        </w:rPr>
        <w:t>Describe the future challenges and opportunities facing the Queensland Health system between now and 2040?</w:t>
      </w:r>
      <w:proofErr w:type="gramEnd"/>
    </w:p>
    <w:p w:rsidR="008012D5" w:rsidRPr="00567FA9" w:rsidRDefault="008012D5" w:rsidP="008012D5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:rsidR="008012D5" w:rsidRPr="00567FA9" w:rsidRDefault="008012D5" w:rsidP="008012D5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</w:t>
      </w:r>
      <w:proofErr w:type="gramStart"/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consumers,</w:t>
      </w:r>
      <w:proofErr w:type="gramEnd"/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and possible strategies you could share to affect that change.  </w:t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FD0A44" w:rsidRPr="00066EF2" w:rsidRDefault="00066EF2" w:rsidP="00066EF2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066EF2">
        <w:rPr>
          <w:rStyle w:val="Hyperlink"/>
          <w:bCs/>
          <w:color w:val="9B1D54"/>
          <w:sz w:val="28"/>
          <w:szCs w:val="28"/>
          <w:u w:val="none"/>
        </w:rPr>
        <w:t>Referee</w:t>
      </w:r>
    </w:p>
    <w:p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provide contact details for a staff member from a health service or department you </w:t>
      </w:r>
      <w:r w:rsidR="00066EF2">
        <w:rPr>
          <w:rFonts w:asciiTheme="minorHAnsi" w:hAnsiTheme="minorHAnsi" w:cstheme="minorHAnsi"/>
          <w:color w:val="auto"/>
          <w:sz w:val="22"/>
        </w:rPr>
        <w:t xml:space="preserve">are currently </w:t>
      </w:r>
      <w:proofErr w:type="gramStart"/>
      <w:r w:rsidR="00066EF2">
        <w:rPr>
          <w:rFonts w:asciiTheme="minorHAnsi" w:hAnsiTheme="minorHAnsi" w:cstheme="minorHAnsi"/>
          <w:color w:val="auto"/>
          <w:sz w:val="22"/>
        </w:rPr>
        <w:t>partnering</w:t>
      </w:r>
      <w:proofErr w:type="gramEnd"/>
      <w:r w:rsidR="00066EF2">
        <w:rPr>
          <w:rFonts w:asciiTheme="minorHAnsi" w:hAnsiTheme="minorHAnsi" w:cstheme="minorHAnsi"/>
          <w:color w:val="auto"/>
          <w:sz w:val="22"/>
        </w:rPr>
        <w:t xml:space="preserve"> with. </w:t>
      </w:r>
      <w:r w:rsidR="00066EF2" w:rsidRPr="00066EF2">
        <w:rPr>
          <w:rFonts w:asciiTheme="minorHAnsi" w:hAnsiTheme="minorHAnsi" w:cstheme="minorHAnsi"/>
          <w:b w:val="0"/>
          <w:i/>
          <w:color w:val="auto"/>
          <w:sz w:val="22"/>
        </w:rPr>
        <w:t>We</w:t>
      </w:r>
      <w:r w:rsidRPr="00066EF2">
        <w:rPr>
          <w:rFonts w:asciiTheme="minorHAnsi" w:hAnsiTheme="minorHAnsi" w:cstheme="minorHAnsi"/>
          <w:b w:val="0"/>
          <w:i/>
          <w:color w:val="auto"/>
          <w:sz w:val="22"/>
        </w:rPr>
        <w:t xml:space="preserve"> will advise if you are shortlisted</w:t>
      </w:r>
      <w:r w:rsidR="00066EF2" w:rsidRPr="00066EF2">
        <w:rPr>
          <w:rFonts w:asciiTheme="minorHAnsi" w:hAnsiTheme="minorHAnsi" w:cstheme="minorHAnsi"/>
          <w:b w:val="0"/>
          <w:i/>
          <w:color w:val="auto"/>
          <w:sz w:val="22"/>
        </w:rPr>
        <w:t xml:space="preserve"> before we contact your referee</w:t>
      </w:r>
      <w:r w:rsidRPr="00066EF2">
        <w:rPr>
          <w:rFonts w:asciiTheme="minorHAnsi" w:hAnsiTheme="minorHAnsi" w:cstheme="minorHAnsi"/>
          <w:b w:val="0"/>
          <w:i/>
          <w:color w:val="auto"/>
          <w:sz w:val="22"/>
        </w:rPr>
        <w:t>.</w:t>
      </w:r>
    </w:p>
    <w:p w:rsidR="008062FA" w:rsidRDefault="008062FA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  <w:sectPr w:rsidR="008062FA" w:rsidSect="007B1118"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:rsidR="00FD0A44" w:rsidRPr="00567FA9" w:rsidRDefault="00066EF2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Referee’s f</w:t>
      </w:r>
      <w:r w:rsidR="00FD0A44" w:rsidRPr="00567FA9">
        <w:rPr>
          <w:rFonts w:asciiTheme="minorHAnsi" w:hAnsiTheme="minorHAnsi" w:cstheme="minorHAnsi"/>
          <w:b w:val="0"/>
          <w:color w:val="auto"/>
          <w:sz w:val="22"/>
        </w:rPr>
        <w:t>ull name:</w:t>
      </w:r>
      <w:r w:rsidR="00FD0A44"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:rsidR="00FD0A44" w:rsidRPr="00567FA9" w:rsidRDefault="00066EF2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proofErr w:type="gramStart"/>
      <w:r>
        <w:rPr>
          <w:rFonts w:asciiTheme="minorHAnsi" w:hAnsiTheme="minorHAnsi" w:cstheme="minorHAnsi"/>
          <w:b w:val="0"/>
          <w:color w:val="auto"/>
          <w:sz w:val="22"/>
        </w:rPr>
        <w:t>Referee’s</w:t>
      </w:r>
      <w:proofErr w:type="gram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FD0A44"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Partnering</w:t>
      </w:r>
      <w:proofErr w:type="gram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>. Committee Chair):</w:t>
      </w:r>
    </w:p>
    <w:p w:rsidR="00FD0A44" w:rsidRPr="00567FA9" w:rsidRDefault="00066EF2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Referee’s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FD0A44"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:rsidR="00FD0A44" w:rsidRPr="00567FA9" w:rsidRDefault="00066EF2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Referee’s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FD0A44"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="00FD0A44"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:rsidR="00FD0A44" w:rsidRPr="00567FA9" w:rsidRDefault="00066EF2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proofErr w:type="gramStart"/>
      <w:r>
        <w:rPr>
          <w:rFonts w:asciiTheme="minorHAnsi" w:hAnsiTheme="minorHAnsi" w:cstheme="minorHAnsi"/>
          <w:b w:val="0"/>
          <w:color w:val="auto"/>
          <w:sz w:val="22"/>
        </w:rPr>
        <w:t>Referee’s</w:t>
      </w:r>
      <w:proofErr w:type="gram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FD0A44"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</w:t>
      </w:r>
      <w:r w:rsidR="00066EF2">
        <w:rPr>
          <w:rFonts w:asciiTheme="minorHAnsi" w:hAnsiTheme="minorHAnsi" w:cstheme="minorHAnsi"/>
          <w:b w:val="0"/>
          <w:color w:val="auto"/>
          <w:sz w:val="22"/>
        </w:rPr>
        <w:t>’s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Role</w:t>
      </w:r>
      <w:r w:rsidR="00066EF2">
        <w:rPr>
          <w:rFonts w:asciiTheme="minorHAnsi" w:hAnsiTheme="minorHAnsi" w:cstheme="minorHAnsi"/>
          <w:b w:val="0"/>
          <w:color w:val="auto"/>
          <w:sz w:val="22"/>
        </w:rPr>
        <w:t xml:space="preserve"> in the partnering activity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:</w:t>
      </w:r>
    </w:p>
    <w:p w:rsidR="008062FA" w:rsidRDefault="008062F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  <w:sectPr w:rsidR="008062FA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18" w:rsidRDefault="007B1118" w:rsidP="007B1118">
      <w:pPr>
        <w:spacing w:after="0" w:line="240" w:lineRule="auto"/>
      </w:pPr>
      <w:r>
        <w:separator/>
      </w:r>
    </w:p>
  </w:endnote>
  <w:endnote w:type="continuationSeparator" w:id="0">
    <w:p w:rsidR="007B1118" w:rsidRDefault="007B1118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F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18" w:rsidRDefault="007B1118" w:rsidP="007B1118">
      <w:pPr>
        <w:spacing w:after="0" w:line="240" w:lineRule="auto"/>
      </w:pPr>
      <w:r>
        <w:separator/>
      </w:r>
    </w:p>
  </w:footnote>
  <w:footnote w:type="continuationSeparator" w:id="0">
    <w:p w:rsidR="007B1118" w:rsidRDefault="007B1118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2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66EF2"/>
    <w:rsid w:val="00067FDB"/>
    <w:rsid w:val="000A6D5A"/>
    <w:rsid w:val="001A491C"/>
    <w:rsid w:val="00341D41"/>
    <w:rsid w:val="003F4436"/>
    <w:rsid w:val="003F475C"/>
    <w:rsid w:val="00441807"/>
    <w:rsid w:val="00470534"/>
    <w:rsid w:val="00525CBB"/>
    <w:rsid w:val="00537C4D"/>
    <w:rsid w:val="00553171"/>
    <w:rsid w:val="00567FA9"/>
    <w:rsid w:val="005C728F"/>
    <w:rsid w:val="007A67B5"/>
    <w:rsid w:val="007B1118"/>
    <w:rsid w:val="007B7AC0"/>
    <w:rsid w:val="008012D5"/>
    <w:rsid w:val="008062FA"/>
    <w:rsid w:val="008A7949"/>
    <w:rsid w:val="008C3230"/>
    <w:rsid w:val="00947678"/>
    <w:rsid w:val="00996C71"/>
    <w:rsid w:val="009D66F5"/>
    <w:rsid w:val="00B01FEF"/>
    <w:rsid w:val="00C532E7"/>
    <w:rsid w:val="00C95682"/>
    <w:rsid w:val="00CE47E1"/>
    <w:rsid w:val="00CF307C"/>
    <w:rsid w:val="00DB3A31"/>
    <w:rsid w:val="00F15F30"/>
    <w:rsid w:val="00F56AC5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B19874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@hcq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cq.org.au/wp-content/uploads/2015/12/Consumer-Remuneration-Rates-Dec-20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Suzanne Wirges</cp:lastModifiedBy>
  <cp:revision>6</cp:revision>
  <dcterms:created xsi:type="dcterms:W3CDTF">2019-07-18T05:21:00Z</dcterms:created>
  <dcterms:modified xsi:type="dcterms:W3CDTF">2019-07-19T01:28:00Z</dcterms:modified>
</cp:coreProperties>
</file>