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43AC" w14:textId="77777777" w:rsidR="00A4777C" w:rsidRDefault="00C0761B">
      <w:pPr>
        <w:pStyle w:val="StaffH1"/>
        <w:pBdr>
          <w:bottom w:val="single" w:sz="4" w:space="0" w:color="9B0552"/>
        </w:pBdr>
        <w:jc w:val="center"/>
        <w:rPr>
          <w:sz w:val="36"/>
          <w:szCs w:val="36"/>
        </w:rPr>
      </w:pPr>
      <w:r>
        <w:rPr>
          <w:sz w:val="36"/>
          <w:szCs w:val="36"/>
        </w:rPr>
        <w:t>Application for Telehealth Seed Funding Assessment Panel</w:t>
      </w:r>
    </w:p>
    <w:p w14:paraId="55CE43AD" w14:textId="77777777" w:rsidR="00A4777C" w:rsidRDefault="00C0761B">
      <w:pPr>
        <w:pStyle w:val="StaffH1"/>
        <w:rPr>
          <w:rFonts w:ascii="Calibri" w:eastAsia="Calibri" w:hAnsi="Calibri" w:cs="Calibri"/>
          <w:color w:val="000000"/>
          <w:sz w:val="22"/>
          <w:szCs w:val="22"/>
          <w:u w:color="000000"/>
        </w:rPr>
      </w:pPr>
      <w:r>
        <w:rPr>
          <w:rFonts w:ascii="Calibri" w:eastAsia="Calibri" w:hAnsi="Calibri" w:cs="Calibri"/>
          <w:color w:val="000000"/>
          <w:sz w:val="22"/>
          <w:szCs w:val="22"/>
          <w:u w:color="000000"/>
        </w:rPr>
        <w:t>Closing date: Monday, 16 September 2019</w:t>
      </w:r>
    </w:p>
    <w:p w14:paraId="55CE43AE" w14:textId="77777777" w:rsidR="00A4777C" w:rsidRDefault="00C0761B">
      <w:pPr>
        <w:pStyle w:val="StaffH1"/>
        <w:rPr>
          <w:rStyle w:val="Link"/>
          <w:rFonts w:ascii="Calibri" w:eastAsia="Calibri" w:hAnsi="Calibri" w:cs="Calibri"/>
          <w:color w:val="000000"/>
          <w:sz w:val="22"/>
          <w:szCs w:val="22"/>
          <w:u w:val="none" w:color="000000"/>
        </w:rPr>
      </w:pPr>
      <w:r>
        <w:rPr>
          <w:rStyle w:val="Link"/>
          <w:color w:val="9B1D54"/>
          <w:sz w:val="28"/>
          <w:szCs w:val="28"/>
          <w:u w:val="none" w:color="9B1D54"/>
        </w:rPr>
        <w:t>Queensland Health- Clinical Excellence Queensland</w:t>
      </w:r>
    </w:p>
    <w:p w14:paraId="55CE43AF" w14:textId="77777777" w:rsidR="00A4777C" w:rsidRDefault="00C0761B">
      <w:pPr>
        <w:pStyle w:val="Body"/>
        <w:rPr>
          <w:b/>
          <w:bCs/>
        </w:rPr>
      </w:pPr>
      <w:r>
        <w:rPr>
          <w:b/>
          <w:bCs/>
        </w:rPr>
        <w:t>Clinical Excellence Queensland</w:t>
      </w:r>
      <w:r>
        <w:rPr>
          <w:b/>
          <w:bCs/>
        </w:rPr>
        <w:t>’</w:t>
      </w:r>
      <w:r>
        <w:rPr>
          <w:b/>
          <w:bCs/>
        </w:rPr>
        <w:t xml:space="preserve">s (CEQ) Telehealth Support Unit is recruiting one consumer representative to participate in an independent panel to assess applications for the 2019-2021 Telehealth Seed Funding round. </w:t>
      </w:r>
    </w:p>
    <w:p w14:paraId="55CE43B0" w14:textId="77777777" w:rsidR="00A4777C" w:rsidRDefault="00C0761B">
      <w:pPr>
        <w:pStyle w:val="Body"/>
      </w:pPr>
      <w:r>
        <w:t>The Telehealth Support Unit sits within CEQ</w:t>
      </w:r>
      <w:r>
        <w:t>’</w:t>
      </w:r>
      <w:r>
        <w:t>s Healthcare Improvement U</w:t>
      </w:r>
      <w:r>
        <w:t>nit (HIU).  HIU works collaboratively with Hospital and Health Services (HHSs) to explore and implement new and innovative models of care which improve access to healthcare. HIU works closely with clinicians and health service managers to improve the capac</w:t>
      </w:r>
      <w:r>
        <w:t>ity and efficiency of public hospitals in Queensland. The Telehealth Support Unit enables telehealth services across Hospital and Health Services through the provision of tools, support and technical capability necessary to deliver a range of healthcare se</w:t>
      </w:r>
      <w:r>
        <w:t xml:space="preserve">rvices to the people of Queensland.  </w:t>
      </w:r>
    </w:p>
    <w:p w14:paraId="55CE43B1" w14:textId="77777777" w:rsidR="00A4777C" w:rsidRDefault="00C0761B">
      <w:pPr>
        <w:pStyle w:val="Body"/>
        <w:rPr>
          <w:rStyle w:val="Link"/>
          <w:color w:val="9B1D54"/>
          <w:sz w:val="28"/>
          <w:szCs w:val="28"/>
          <w:u w:val="none" w:color="9B1D54"/>
        </w:rPr>
      </w:pPr>
      <w:r>
        <w:rPr>
          <w:rStyle w:val="Link"/>
          <w:color w:val="9B1D54"/>
          <w:sz w:val="28"/>
          <w:szCs w:val="28"/>
          <w:u w:val="none" w:color="9B1D54"/>
          <w:lang w:val="fr-FR"/>
        </w:rPr>
        <w:t>Purpose</w:t>
      </w:r>
    </w:p>
    <w:p w14:paraId="55CE43B2" w14:textId="77777777" w:rsidR="00A4777C" w:rsidRDefault="00C0761B">
      <w:pPr>
        <w:pStyle w:val="Body"/>
      </w:pPr>
      <w:r>
        <w:t>Our vision is to embed telehealth into everyday services as an accepted way of delivering healthcare to all Queenslanders. The Telehealth Support Unit is calling for applications for non-recurrent funding to assist HHSs in designing healthcare services tha</w:t>
      </w:r>
      <w:r>
        <w:t xml:space="preserve">t use telehealth to give people the option of receiving treatment at home instead of the hospital. </w:t>
      </w:r>
    </w:p>
    <w:p w14:paraId="55CE43B3" w14:textId="77777777" w:rsidR="00A4777C" w:rsidRDefault="00C0761B">
      <w:pPr>
        <w:pStyle w:val="Body"/>
      </w:pPr>
      <w:r>
        <w:t>Specifically, the objective of the funding round is to collaborate with HHSs to explore the potential clinical and financial benefits of delivering increase</w:t>
      </w:r>
      <w:r>
        <w:t>d levels of care to patients in their homes through remote patient monitoring.</w:t>
      </w:r>
    </w:p>
    <w:p w14:paraId="55CE43B4" w14:textId="77777777" w:rsidR="00A4777C" w:rsidRDefault="00C0761B">
      <w:pPr>
        <w:pStyle w:val="Body"/>
      </w:pPr>
      <w:r>
        <w:t>Remote patient monitoring is technology that enables the monitoring of patients outside the traditional hospital setting.</w:t>
      </w:r>
      <w:bookmarkStart w:id="0" w:name="_GoBack"/>
      <w:bookmarkEnd w:id="0"/>
    </w:p>
    <w:p w14:paraId="55CE43B5" w14:textId="77777777" w:rsidR="00A4777C" w:rsidRDefault="00C0761B">
      <w:pPr>
        <w:pStyle w:val="Body"/>
        <w:rPr>
          <w:rStyle w:val="Link"/>
          <w:color w:val="9B1D54"/>
          <w:sz w:val="28"/>
          <w:szCs w:val="28"/>
          <w:u w:val="none" w:color="9B1D54"/>
        </w:rPr>
      </w:pPr>
      <w:r>
        <w:rPr>
          <w:rStyle w:val="Link"/>
          <w:color w:val="9B1D54"/>
          <w:sz w:val="28"/>
          <w:szCs w:val="28"/>
          <w:u w:val="none" w:color="9B1D54"/>
        </w:rPr>
        <w:t>Makeup of the Panel</w:t>
      </w:r>
    </w:p>
    <w:p w14:paraId="55CE43B6" w14:textId="77777777" w:rsidR="00A4777C" w:rsidRDefault="00C0761B">
      <w:pPr>
        <w:pStyle w:val="Body"/>
      </w:pPr>
      <w:r>
        <w:t>We are seeking panel members with a</w:t>
      </w:r>
      <w:r>
        <w:t xml:space="preserve"> variety of backgrounds and experience. A health consumer perspective is regarded as an essential component of this panel.  </w:t>
      </w:r>
    </w:p>
    <w:p w14:paraId="55CE43B7" w14:textId="77777777" w:rsidR="00A4777C" w:rsidRDefault="00C0761B">
      <w:pPr>
        <w:pStyle w:val="Body"/>
      </w:pPr>
      <w:r>
        <w:t>The panel will consist of seven members with each nominee representing one of the following areas:</w:t>
      </w:r>
    </w:p>
    <w:p w14:paraId="55CE43B8" w14:textId="77777777" w:rsidR="00A4777C" w:rsidRDefault="00C0761B">
      <w:pPr>
        <w:pStyle w:val="ListParagraph"/>
        <w:numPr>
          <w:ilvl w:val="0"/>
          <w:numId w:val="2"/>
        </w:numPr>
      </w:pPr>
      <w:r>
        <w:t xml:space="preserve">eHealth Queensland </w:t>
      </w:r>
    </w:p>
    <w:p w14:paraId="55CE43B9" w14:textId="77777777" w:rsidR="00A4777C" w:rsidRDefault="00C0761B">
      <w:pPr>
        <w:pStyle w:val="ListParagraph"/>
        <w:numPr>
          <w:ilvl w:val="0"/>
          <w:numId w:val="2"/>
        </w:numPr>
      </w:pPr>
      <w:r>
        <w:t>Prevention D</w:t>
      </w:r>
      <w:r>
        <w:t>ivision</w:t>
      </w:r>
    </w:p>
    <w:p w14:paraId="55CE43BA" w14:textId="77777777" w:rsidR="00A4777C" w:rsidRDefault="00C0761B">
      <w:pPr>
        <w:pStyle w:val="ListParagraph"/>
        <w:numPr>
          <w:ilvl w:val="0"/>
          <w:numId w:val="2"/>
        </w:numPr>
      </w:pPr>
      <w:r>
        <w:t>Healthcare Purchasing</w:t>
      </w:r>
    </w:p>
    <w:p w14:paraId="55CE43BB" w14:textId="77777777" w:rsidR="00A4777C" w:rsidRDefault="00C0761B">
      <w:pPr>
        <w:pStyle w:val="ListParagraph"/>
        <w:numPr>
          <w:ilvl w:val="0"/>
          <w:numId w:val="2"/>
        </w:numPr>
      </w:pPr>
      <w:r>
        <w:t>Rural Primary Care</w:t>
      </w:r>
    </w:p>
    <w:p w14:paraId="55CE43BC" w14:textId="77777777" w:rsidR="00A4777C" w:rsidRDefault="00C0761B">
      <w:pPr>
        <w:pStyle w:val="ListParagraph"/>
        <w:numPr>
          <w:ilvl w:val="0"/>
          <w:numId w:val="2"/>
        </w:numPr>
      </w:pPr>
      <w:r>
        <w:t>The Office of the Chief Nursing and Midwifery Officer</w:t>
      </w:r>
    </w:p>
    <w:p w14:paraId="55CE43BD" w14:textId="77777777" w:rsidR="00A4777C" w:rsidRDefault="00C0761B">
      <w:pPr>
        <w:pStyle w:val="ListParagraph"/>
        <w:numPr>
          <w:ilvl w:val="0"/>
          <w:numId w:val="2"/>
        </w:numPr>
      </w:pPr>
      <w:r>
        <w:lastRenderedPageBreak/>
        <w:t>The Healthcare Improvement Unit</w:t>
      </w:r>
    </w:p>
    <w:p w14:paraId="55CE43BE" w14:textId="77777777" w:rsidR="00A4777C" w:rsidRDefault="00C0761B">
      <w:pPr>
        <w:pStyle w:val="ListParagraph"/>
        <w:numPr>
          <w:ilvl w:val="0"/>
          <w:numId w:val="2"/>
        </w:numPr>
      </w:pPr>
      <w:r>
        <w:t xml:space="preserve">Health Consumer Representative </w:t>
      </w:r>
    </w:p>
    <w:p w14:paraId="55CE43BF" w14:textId="77777777" w:rsidR="00A4777C" w:rsidRDefault="00A4777C">
      <w:pPr>
        <w:pStyle w:val="Body"/>
      </w:pPr>
    </w:p>
    <w:p w14:paraId="55CE43C0" w14:textId="77777777" w:rsidR="00A4777C" w:rsidRDefault="00C0761B">
      <w:pPr>
        <w:pStyle w:val="Body"/>
      </w:pPr>
      <w:r>
        <w:t>Each panel member has been invited specifically for their inter-personal and communicati</w:t>
      </w:r>
      <w:r>
        <w:t>on skills and we anticipate a friendly and informal atmosphere. The Telehealth Support Unit team will provide consultative expert advice to the panel throughout the assessment process. The process will be coordinated via a series of regular support meeting</w:t>
      </w:r>
      <w:r>
        <w:t xml:space="preserve">s. The Telehealth Support Unit team will also be available for out of session discussion as needed. </w:t>
      </w:r>
      <w:r>
        <w:t> </w:t>
      </w:r>
    </w:p>
    <w:p w14:paraId="55CE43C1" w14:textId="77777777" w:rsidR="00A4777C" w:rsidRDefault="00C0761B">
      <w:pPr>
        <w:pStyle w:val="Body"/>
        <w:rPr>
          <w:rStyle w:val="Link"/>
          <w:color w:val="9B1D54"/>
          <w:sz w:val="28"/>
          <w:szCs w:val="28"/>
          <w:u w:val="none" w:color="9B1D54"/>
        </w:rPr>
      </w:pPr>
      <w:r>
        <w:rPr>
          <w:rStyle w:val="Link"/>
          <w:color w:val="9B1D54"/>
          <w:sz w:val="28"/>
          <w:szCs w:val="28"/>
          <w:u w:val="none" w:color="9B1D54"/>
        </w:rPr>
        <w:t>Role of the consumer</w:t>
      </w:r>
    </w:p>
    <w:p w14:paraId="55CE43C2" w14:textId="77777777" w:rsidR="00A4777C" w:rsidRDefault="00C0761B">
      <w:pPr>
        <w:pStyle w:val="Body"/>
        <w:rPr>
          <w:rStyle w:val="Link"/>
          <w:color w:val="000000"/>
          <w:u w:val="none" w:color="000000"/>
        </w:rPr>
      </w:pPr>
      <w:r>
        <w:t>The role of the consumer will be to participate in the panel</w:t>
      </w:r>
      <w:r>
        <w:t>’</w:t>
      </w:r>
      <w:r>
        <w:t>s activities including scoring the applications, attending the panel bri</w:t>
      </w:r>
      <w:r>
        <w:t xml:space="preserve">efing meetings, and contacting other panel members and/or the Telehealth Support Unit team out of session when further discussion is required.  </w:t>
      </w:r>
    </w:p>
    <w:p w14:paraId="55CE43C3" w14:textId="77777777" w:rsidR="00A4777C" w:rsidRDefault="00C0761B">
      <w:pPr>
        <w:pStyle w:val="Body"/>
        <w:rPr>
          <w:rStyle w:val="Link"/>
          <w:color w:val="9B1D54"/>
          <w:sz w:val="28"/>
          <w:szCs w:val="28"/>
          <w:u w:val="none" w:color="9B1D54"/>
        </w:rPr>
      </w:pPr>
      <w:r>
        <w:rPr>
          <w:rStyle w:val="Link"/>
          <w:color w:val="9B1D54"/>
          <w:sz w:val="28"/>
          <w:szCs w:val="28"/>
          <w:u w:val="none" w:color="9B1D54"/>
        </w:rPr>
        <w:t>Who would this opportunity suit?</w:t>
      </w:r>
    </w:p>
    <w:p w14:paraId="55CE43C4" w14:textId="77777777" w:rsidR="00A4777C" w:rsidRDefault="00C0761B">
      <w:pPr>
        <w:pStyle w:val="Body"/>
      </w:pPr>
      <w:r>
        <w:t>This opportunity would suit consumers who are confident to actively participat</w:t>
      </w:r>
      <w:r>
        <w:t xml:space="preserve">e in group discussion combined with the ability to work individually.  </w:t>
      </w:r>
    </w:p>
    <w:p w14:paraId="55CE43C5" w14:textId="77777777" w:rsidR="00A4777C" w:rsidRDefault="00C0761B">
      <w:pPr>
        <w:pStyle w:val="Body"/>
        <w:rPr>
          <w:rStyle w:val="Link"/>
          <w:color w:val="000000"/>
          <w:u w:val="none" w:color="000000"/>
        </w:rPr>
      </w:pPr>
      <w:r>
        <w:t>While not essential, it would be useful to have some understanding of technology (particularly telehealth and tele-communications) OR previous experience of healthcare access issues or</w:t>
      </w:r>
      <w:r>
        <w:t xml:space="preserve"> managing chronic disease at home.  </w:t>
      </w:r>
    </w:p>
    <w:p w14:paraId="55CE43C6" w14:textId="77777777" w:rsidR="00A4777C" w:rsidRDefault="00C0761B">
      <w:pPr>
        <w:pStyle w:val="Body"/>
        <w:rPr>
          <w:rStyle w:val="Link"/>
          <w:color w:val="9B1D54"/>
          <w:sz w:val="28"/>
          <w:szCs w:val="28"/>
          <w:u w:val="none" w:color="9B1D54"/>
        </w:rPr>
      </w:pPr>
      <w:r>
        <w:rPr>
          <w:rStyle w:val="Link"/>
          <w:color w:val="9B1D54"/>
          <w:sz w:val="28"/>
          <w:szCs w:val="28"/>
          <w:u w:val="none" w:color="9B1D54"/>
        </w:rPr>
        <w:t xml:space="preserve">Time and location </w:t>
      </w:r>
    </w:p>
    <w:p w14:paraId="55CE43C7" w14:textId="77777777" w:rsidR="00A4777C" w:rsidRDefault="00C0761B">
      <w:pPr>
        <w:pStyle w:val="Body"/>
      </w:pPr>
      <w:r>
        <w:t>The assessment period is expected to run over approximately two weeks in October, aiming for completion by the Friday 25</w:t>
      </w:r>
      <w:r>
        <w:rPr>
          <w:vertAlign w:val="superscript"/>
        </w:rPr>
        <w:t>th</w:t>
      </w:r>
      <w:r>
        <w:t xml:space="preserve"> October. The number of panel briefing meetings is yet to be determined however we anticipate a maximum of 2-3 occasions.  </w:t>
      </w:r>
    </w:p>
    <w:p w14:paraId="55CE43C8" w14:textId="77777777" w:rsidR="00A4777C" w:rsidRDefault="00C0761B">
      <w:pPr>
        <w:pStyle w:val="Body"/>
      </w:pPr>
      <w:r>
        <w:t>The meetings will be held in the Healthcare Improvement Unit at 15 Butterfield St, Herston in Brisbane with videoconferencing availa</w:t>
      </w:r>
      <w:r>
        <w:t xml:space="preserve">ble.   </w:t>
      </w:r>
    </w:p>
    <w:p w14:paraId="55CE43C9" w14:textId="77777777" w:rsidR="00A4777C" w:rsidRDefault="00C0761B">
      <w:pPr>
        <w:pStyle w:val="Body"/>
      </w:pPr>
      <w:r>
        <w:t>The Telehealth Portal facilitates videoconferencing into Queensland Health from people</w:t>
      </w:r>
      <w:r>
        <w:t>’</w:t>
      </w:r>
      <w:r>
        <w:t xml:space="preserve">s homes or workplace, meaning consumers outside of the Brisbane metropolitan area are eligible to apply.  </w:t>
      </w:r>
    </w:p>
    <w:p w14:paraId="55CE43CA" w14:textId="77777777" w:rsidR="00A4777C" w:rsidRDefault="00A4777C">
      <w:pPr>
        <w:pStyle w:val="Body"/>
        <w:spacing w:after="120" w:line="240" w:lineRule="auto"/>
      </w:pPr>
    </w:p>
    <w:p w14:paraId="55CE43CB" w14:textId="77777777" w:rsidR="00A4777C" w:rsidRDefault="00C0761B">
      <w:pPr>
        <w:pStyle w:val="Body"/>
        <w:spacing w:after="120" w:line="240" w:lineRule="auto"/>
        <w:rPr>
          <w:rStyle w:val="Link"/>
          <w:u w:val="none"/>
        </w:rPr>
      </w:pPr>
      <w:r>
        <w:rPr>
          <w:rStyle w:val="Link"/>
          <w:color w:val="9B1D54"/>
          <w:sz w:val="28"/>
          <w:szCs w:val="28"/>
          <w:u w:val="none" w:color="9B1D54"/>
        </w:rPr>
        <w:t>Remuneration and Support</w:t>
      </w:r>
    </w:p>
    <w:p w14:paraId="55CE43CC" w14:textId="77777777" w:rsidR="00A4777C" w:rsidRDefault="00C0761B">
      <w:pPr>
        <w:pStyle w:val="Body"/>
        <w:spacing w:after="120" w:line="240" w:lineRule="auto"/>
      </w:pPr>
      <w:r>
        <w:t>Consumers will be remunerate</w:t>
      </w:r>
      <w:r>
        <w:t xml:space="preserve">d for their time in line with </w:t>
      </w:r>
      <w:hyperlink r:id="rId7" w:history="1">
        <w:r>
          <w:rPr>
            <w:rStyle w:val="Link"/>
          </w:rPr>
          <w:t>Health Consumers Queensland</w:t>
        </w:r>
        <w:r>
          <w:rPr>
            <w:rStyle w:val="Link"/>
          </w:rPr>
          <w:t>’</w:t>
        </w:r>
        <w:r>
          <w:rPr>
            <w:rStyle w:val="Link"/>
            <w:lang w:val="fr-FR"/>
          </w:rPr>
          <w:t>s remuneration position statement</w:t>
        </w:r>
      </w:hyperlink>
      <w:r>
        <w:t>. $187 per meeting (4 hours and under). Parking and travel e</w:t>
      </w:r>
      <w:r>
        <w:t>xpenses will be covered</w:t>
      </w:r>
      <w:r>
        <w:rPr>
          <w:i/>
          <w:iCs/>
        </w:rPr>
        <w:t xml:space="preserve">. </w:t>
      </w:r>
    </w:p>
    <w:p w14:paraId="55CE43CD" w14:textId="77777777" w:rsidR="00A4777C" w:rsidRDefault="00C0761B">
      <w:pPr>
        <w:pStyle w:val="Body"/>
        <w:spacing w:after="120" w:line="240" w:lineRule="auto"/>
      </w:pPr>
      <w:r>
        <w:t>The Telehealth Support Unit team will provide consultative expert advice to the panel throughout the assessment process and will be coordinating regular support meetings as needed.</w:t>
      </w:r>
    </w:p>
    <w:p w14:paraId="55CE43CE" w14:textId="77777777" w:rsidR="00A4777C" w:rsidRDefault="00C0761B">
      <w:pPr>
        <w:pStyle w:val="Body"/>
        <w:rPr>
          <w:b/>
          <w:bCs/>
        </w:rPr>
      </w:pPr>
      <w:r>
        <w:rPr>
          <w:b/>
          <w:bCs/>
        </w:rPr>
        <w:t>Due to the temporary nature and short duration of</w:t>
      </w:r>
      <w:r>
        <w:rPr>
          <w:b/>
          <w:bCs/>
        </w:rPr>
        <w:t xml:space="preserve"> the panel process, airfares and accommodation reimbursement is not included.</w:t>
      </w:r>
    </w:p>
    <w:p w14:paraId="55CE43CF" w14:textId="77777777" w:rsidR="00A4777C" w:rsidRDefault="00A4777C">
      <w:pPr>
        <w:pStyle w:val="Body"/>
        <w:spacing w:after="120" w:line="240" w:lineRule="auto"/>
        <w:rPr>
          <w:color w:val="0563C1"/>
          <w:u w:color="0563C1"/>
        </w:rPr>
      </w:pPr>
    </w:p>
    <w:p w14:paraId="55CE43D0" w14:textId="77777777" w:rsidR="00A4777C" w:rsidRDefault="00C0761B">
      <w:pPr>
        <w:pStyle w:val="Body"/>
        <w:rPr>
          <w:rStyle w:val="Link"/>
          <w:color w:val="9B1D54"/>
          <w:sz w:val="28"/>
          <w:szCs w:val="28"/>
          <w:u w:val="none" w:color="9B1D54"/>
        </w:rPr>
      </w:pPr>
      <w:r>
        <w:rPr>
          <w:rStyle w:val="Link"/>
          <w:color w:val="9B1D54"/>
          <w:sz w:val="28"/>
          <w:szCs w:val="28"/>
          <w:u w:val="none" w:color="9B1D54"/>
        </w:rPr>
        <w:t>How to apply</w:t>
      </w:r>
    </w:p>
    <w:p w14:paraId="55CE43D1" w14:textId="77777777" w:rsidR="00A4777C" w:rsidRDefault="00C0761B">
      <w:pPr>
        <w:pStyle w:val="Body"/>
        <w:rPr>
          <w:b/>
          <w:bCs/>
          <w:color w:val="0563C1"/>
          <w:u w:val="single" w:color="0563C1"/>
        </w:rPr>
      </w:pPr>
      <w:r>
        <w:rPr>
          <w:b/>
          <w:bCs/>
        </w:rPr>
        <w:t>Please complete this consumer application form and return to</w:t>
      </w:r>
      <w:r>
        <w:rPr>
          <w:b/>
          <w:bCs/>
          <w:i/>
          <w:iCs/>
        </w:rPr>
        <w:t xml:space="preserve"> </w:t>
      </w:r>
      <w:hyperlink r:id="rId8" w:history="1">
        <w:r>
          <w:rPr>
            <w:rStyle w:val="Hyperlink0"/>
          </w:rPr>
          <w:t>consumer@hcq.org.au</w:t>
        </w:r>
      </w:hyperlink>
      <w:r>
        <w:rPr>
          <w:rStyle w:val="Hyperlink0"/>
        </w:rPr>
        <w:t xml:space="preserve"> </w:t>
      </w:r>
      <w:r>
        <w:rPr>
          <w:rStyle w:val="Link"/>
          <w:color w:val="000000"/>
          <w:u w:val="none" w:color="000000"/>
        </w:rPr>
        <w:t xml:space="preserve">by </w:t>
      </w:r>
      <w:r>
        <w:t>Monday, 16 September 2019</w:t>
      </w:r>
    </w:p>
    <w:p w14:paraId="55CE43D2" w14:textId="77777777" w:rsidR="00A4777C" w:rsidRDefault="00C0761B">
      <w:pPr>
        <w:pStyle w:val="Body"/>
      </w:pPr>
      <w:r>
        <w:t xml:space="preserve">For assistance please contact Health Consumers Queensland via </w:t>
      </w:r>
      <w:hyperlink r:id="rId9" w:history="1">
        <w:r>
          <w:rPr>
            <w:rStyle w:val="Link"/>
          </w:rPr>
          <w:t>consumer@hcq.org.au</w:t>
        </w:r>
      </w:hyperlink>
      <w:r>
        <w:t xml:space="preserve"> or by phone on 07 3012 9090.</w:t>
      </w:r>
    </w:p>
    <w:p w14:paraId="55CE43D3" w14:textId="77777777" w:rsidR="00A4777C" w:rsidRDefault="00A4777C">
      <w:pPr>
        <w:pStyle w:val="StaffH1"/>
        <w:pBdr>
          <w:top w:val="single" w:sz="4" w:space="0" w:color="9B0552"/>
        </w:pBdr>
        <w:spacing w:line="72" w:lineRule="auto"/>
        <w:jc w:val="center"/>
        <w:rPr>
          <w:sz w:val="32"/>
          <w:szCs w:val="32"/>
        </w:rPr>
      </w:pPr>
    </w:p>
    <w:p w14:paraId="55CE43D4" w14:textId="77777777" w:rsidR="00A4777C" w:rsidRDefault="00C0761B">
      <w:pPr>
        <w:pStyle w:val="StaffH1"/>
        <w:jc w:val="center"/>
        <w:rPr>
          <w:rFonts w:ascii="Calibri" w:eastAsia="Calibri" w:hAnsi="Calibri" w:cs="Calibri"/>
          <w:color w:val="000000"/>
          <w:sz w:val="32"/>
          <w:szCs w:val="32"/>
          <w:u w:color="000000"/>
        </w:rPr>
      </w:pPr>
      <w:r>
        <w:rPr>
          <w:rFonts w:ascii="Calibri" w:eastAsia="Calibri" w:hAnsi="Calibri" w:cs="Calibri"/>
          <w:color w:val="000000"/>
          <w:sz w:val="32"/>
          <w:szCs w:val="32"/>
          <w:u w:color="000000"/>
        </w:rPr>
        <w:t>Telehealth Seed Funding Assessment Panel</w:t>
      </w:r>
    </w:p>
    <w:p w14:paraId="55CE43D5" w14:textId="77777777" w:rsidR="00A4777C" w:rsidRDefault="00A4777C">
      <w:pPr>
        <w:pStyle w:val="Body"/>
        <w:jc w:val="center"/>
        <w:rPr>
          <w:b/>
          <w:bCs/>
          <w:sz w:val="20"/>
          <w:szCs w:val="20"/>
        </w:rPr>
      </w:pPr>
    </w:p>
    <w:p w14:paraId="55CE43D6" w14:textId="77777777" w:rsidR="00A4777C" w:rsidRDefault="00C0761B">
      <w:pPr>
        <w:pStyle w:val="StaffH1"/>
        <w:rPr>
          <w:rFonts w:ascii="Calibri" w:eastAsia="Calibri" w:hAnsi="Calibri" w:cs="Calibri"/>
          <w:color w:val="000000"/>
          <w:sz w:val="22"/>
          <w:szCs w:val="22"/>
          <w:u w:color="000000"/>
        </w:rPr>
      </w:pPr>
      <w:r>
        <w:rPr>
          <w:rFonts w:ascii="Calibri" w:eastAsia="Calibri" w:hAnsi="Calibri" w:cs="Calibri"/>
          <w:color w:val="000000"/>
          <w:sz w:val="22"/>
          <w:szCs w:val="22"/>
          <w:u w:color="000000"/>
        </w:rPr>
        <w:t>Full name:</w:t>
      </w:r>
    </w:p>
    <w:p w14:paraId="55CE43D7" w14:textId="77777777" w:rsidR="00A4777C" w:rsidRDefault="00C0761B">
      <w:pPr>
        <w:pStyle w:val="StaffH1"/>
        <w:rPr>
          <w:rFonts w:ascii="Calibri" w:eastAsia="Calibri" w:hAnsi="Calibri" w:cs="Calibri"/>
          <w:color w:val="000000"/>
          <w:sz w:val="22"/>
          <w:szCs w:val="22"/>
          <w:u w:color="000000"/>
        </w:rPr>
      </w:pPr>
      <w:r>
        <w:rPr>
          <w:rFonts w:ascii="Calibri" w:eastAsia="Calibri" w:hAnsi="Calibri" w:cs="Calibri"/>
          <w:color w:val="000000"/>
          <w:sz w:val="22"/>
          <w:szCs w:val="22"/>
          <w:u w:color="000000"/>
        </w:rPr>
        <w:t>Preferred phone number:</w:t>
      </w:r>
    </w:p>
    <w:p w14:paraId="55CE43D8" w14:textId="77777777" w:rsidR="00A4777C" w:rsidRDefault="00C0761B">
      <w:pPr>
        <w:pStyle w:val="StaffH1"/>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Email: </w:t>
      </w:r>
    </w:p>
    <w:p w14:paraId="55CE43D9" w14:textId="77777777" w:rsidR="00A4777C" w:rsidRDefault="00C0761B">
      <w:pPr>
        <w:pStyle w:val="StaffH1"/>
        <w:rPr>
          <w:rFonts w:ascii="Calibri" w:eastAsia="Calibri" w:hAnsi="Calibri" w:cs="Calibri"/>
          <w:color w:val="000000"/>
          <w:sz w:val="22"/>
          <w:szCs w:val="22"/>
          <w:u w:color="000000"/>
        </w:rPr>
      </w:pPr>
      <w:r>
        <w:rPr>
          <w:rFonts w:ascii="Calibri" w:eastAsia="Calibri" w:hAnsi="Calibri" w:cs="Calibri"/>
          <w:color w:val="000000"/>
          <w:sz w:val="22"/>
          <w:szCs w:val="22"/>
          <w:u w:color="000000"/>
        </w:rPr>
        <w:t>Postal address:</w:t>
      </w:r>
    </w:p>
    <w:p w14:paraId="55CE43DA" w14:textId="77777777" w:rsidR="00A4777C" w:rsidRDefault="00C0761B">
      <w:pPr>
        <w:pStyle w:val="StaffH1"/>
        <w:rPr>
          <w:rFonts w:ascii="Calibri" w:eastAsia="Calibri" w:hAnsi="Calibri" w:cs="Calibri"/>
          <w:color w:val="000000"/>
          <w:sz w:val="22"/>
          <w:szCs w:val="22"/>
          <w:u w:color="000000"/>
        </w:rPr>
      </w:pPr>
      <w:r>
        <w:rPr>
          <w:rFonts w:ascii="Calibri" w:eastAsia="Calibri" w:hAnsi="Calibri" w:cs="Calibri"/>
          <w:color w:val="000000"/>
          <w:sz w:val="22"/>
          <w:szCs w:val="22"/>
          <w:u w:color="000000"/>
        </w:rPr>
        <w:t>Postcode:</w:t>
      </w:r>
    </w:p>
    <w:p w14:paraId="55CE43DB" w14:textId="77777777" w:rsidR="00A4777C" w:rsidRDefault="00A4777C">
      <w:pPr>
        <w:pStyle w:val="StaffH1"/>
        <w:pBdr>
          <w:top w:val="single" w:sz="4" w:space="0" w:color="A6A6A6"/>
        </w:pBdr>
        <w:spacing w:before="240" w:line="72" w:lineRule="auto"/>
        <w:rPr>
          <w:rFonts w:ascii="Calibri" w:eastAsia="Calibri" w:hAnsi="Calibri" w:cs="Calibri"/>
          <w:b w:val="0"/>
          <w:bCs w:val="0"/>
          <w:color w:val="000000"/>
          <w:sz w:val="22"/>
          <w:szCs w:val="22"/>
          <w:u w:color="000000"/>
        </w:rPr>
      </w:pPr>
    </w:p>
    <w:p w14:paraId="55CE43DC" w14:textId="77777777" w:rsidR="00A4777C" w:rsidRDefault="00C0761B">
      <w:pPr>
        <w:pStyle w:val="StaffH1"/>
        <w:numPr>
          <w:ilvl w:val="0"/>
          <w:numId w:val="4"/>
        </w:numPr>
        <w:spacing w:before="240"/>
        <w:rPr>
          <w:rFonts w:ascii="Calibri" w:eastAsia="Calibri" w:hAnsi="Calibri" w:cs="Calibri"/>
          <w:b w:val="0"/>
          <w:bCs w:val="0"/>
          <w:color w:val="000000"/>
          <w:sz w:val="22"/>
          <w:szCs w:val="22"/>
        </w:rPr>
      </w:pPr>
      <w:r>
        <w:rPr>
          <w:rFonts w:ascii="Calibri" w:eastAsia="Calibri" w:hAnsi="Calibri" w:cs="Calibri"/>
          <w:color w:val="000000"/>
          <w:sz w:val="22"/>
          <w:szCs w:val="22"/>
          <w:u w:color="000000"/>
        </w:rPr>
        <w:t>By completing this application, I consent for my details to be added to the Health Consumers Queensland network database</w:t>
      </w:r>
      <w:r>
        <w:rPr>
          <w:rFonts w:ascii="Calibri" w:eastAsia="Calibri" w:hAnsi="Calibri" w:cs="Calibri"/>
          <w:b w:val="0"/>
          <w:bCs w:val="0"/>
          <w:color w:val="000000"/>
          <w:sz w:val="22"/>
          <w:szCs w:val="22"/>
          <w:u w:color="000000"/>
        </w:rPr>
        <w:t xml:space="preserve"> YES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NO</w:t>
      </w:r>
    </w:p>
    <w:p w14:paraId="55CE43DD" w14:textId="77777777" w:rsidR="00A4777C" w:rsidRDefault="00C0761B">
      <w:pPr>
        <w:pStyle w:val="StaffH1"/>
        <w:numPr>
          <w:ilvl w:val="0"/>
          <w:numId w:val="5"/>
        </w:numPr>
        <w:rPr>
          <w:rFonts w:ascii="Calibri" w:eastAsia="Calibri" w:hAnsi="Calibri" w:cs="Calibri"/>
          <w:b w:val="0"/>
          <w:bCs w:val="0"/>
          <w:color w:val="000000"/>
          <w:sz w:val="22"/>
          <w:szCs w:val="22"/>
        </w:rPr>
      </w:pPr>
      <w:r>
        <w:rPr>
          <w:rFonts w:ascii="Calibri" w:eastAsia="Calibri" w:hAnsi="Calibri" w:cs="Calibri"/>
          <w:color w:val="000000"/>
          <w:sz w:val="22"/>
          <w:szCs w:val="22"/>
          <w:u w:color="000000"/>
        </w:rPr>
        <w:t>I would like to receive email updates from Health Consumers Queensland</w:t>
      </w:r>
      <w:r>
        <w:rPr>
          <w:rFonts w:ascii="Calibri" w:eastAsia="Calibri" w:hAnsi="Calibri" w:cs="Calibri"/>
          <w:b w:val="0"/>
          <w:bCs w:val="0"/>
          <w:color w:val="000000"/>
          <w:sz w:val="22"/>
          <w:szCs w:val="22"/>
          <w:u w:color="000000"/>
        </w:rPr>
        <w:t xml:space="preserve"> YES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NO</w:t>
      </w:r>
    </w:p>
    <w:p w14:paraId="55CE43DE" w14:textId="77777777" w:rsidR="00A4777C" w:rsidRDefault="00C0761B">
      <w:pPr>
        <w:pStyle w:val="StaffH1"/>
        <w:numPr>
          <w:ilvl w:val="0"/>
          <w:numId w:val="5"/>
        </w:numPr>
        <w:rPr>
          <w:rFonts w:ascii="Calibri" w:eastAsia="Calibri" w:hAnsi="Calibri" w:cs="Calibri"/>
          <w:b w:val="0"/>
          <w:bCs w:val="0"/>
          <w:color w:val="000000"/>
          <w:sz w:val="22"/>
          <w:szCs w:val="22"/>
        </w:rPr>
      </w:pPr>
      <w:r>
        <w:rPr>
          <w:rFonts w:ascii="Calibri" w:eastAsia="Calibri" w:hAnsi="Calibri" w:cs="Calibri"/>
          <w:color w:val="000000"/>
          <w:sz w:val="22"/>
          <w:szCs w:val="22"/>
          <w:u w:color="000000"/>
        </w:rPr>
        <w:t xml:space="preserve">Are you happy for Health Consumers </w:t>
      </w:r>
      <w:r>
        <w:rPr>
          <w:rFonts w:ascii="Calibri" w:eastAsia="Calibri" w:hAnsi="Calibri" w:cs="Calibri"/>
          <w:color w:val="000000"/>
          <w:sz w:val="22"/>
          <w:szCs w:val="22"/>
          <w:u w:color="000000"/>
        </w:rPr>
        <w:t>Queensland to share this form with Queensland Health as part of the process for this application?</w:t>
      </w:r>
      <w:r>
        <w:rPr>
          <w:rFonts w:ascii="Calibri" w:eastAsia="Calibri" w:hAnsi="Calibri" w:cs="Calibri"/>
          <w:b w:val="0"/>
          <w:bCs w:val="0"/>
          <w:color w:val="000000"/>
          <w:sz w:val="22"/>
          <w:szCs w:val="22"/>
          <w:u w:color="000000"/>
        </w:rPr>
        <w:t xml:space="preserve">    YES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NO    </w:t>
      </w:r>
    </w:p>
    <w:p w14:paraId="55CE43DF" w14:textId="77777777" w:rsidR="00A4777C" w:rsidRDefault="00C0761B">
      <w:pPr>
        <w:pStyle w:val="StaffH1"/>
        <w:numPr>
          <w:ilvl w:val="0"/>
          <w:numId w:val="5"/>
        </w:numPr>
        <w:rPr>
          <w:rFonts w:ascii="Calibri" w:eastAsia="Calibri" w:hAnsi="Calibri" w:cs="Calibri"/>
          <w:b w:val="0"/>
          <w:bCs w:val="0"/>
          <w:color w:val="000000"/>
          <w:sz w:val="22"/>
          <w:szCs w:val="22"/>
        </w:rPr>
      </w:pPr>
      <w:r>
        <w:rPr>
          <w:rFonts w:ascii="Calibri" w:eastAsia="Calibri" w:hAnsi="Calibri" w:cs="Calibri"/>
          <w:color w:val="000000"/>
          <w:sz w:val="22"/>
          <w:szCs w:val="22"/>
          <w:u w:color="000000"/>
        </w:rPr>
        <w:t>Would you like us to retain this application for future vacancies?</w:t>
      </w:r>
      <w:r>
        <w:rPr>
          <w:rFonts w:ascii="Calibri" w:eastAsia="Calibri" w:hAnsi="Calibri" w:cs="Calibri"/>
          <w:b w:val="0"/>
          <w:bCs w:val="0"/>
          <w:color w:val="000000"/>
          <w:sz w:val="22"/>
          <w:szCs w:val="22"/>
          <w:u w:color="000000"/>
        </w:rPr>
        <w:t xml:space="preserve"> </w:t>
      </w:r>
      <w:r>
        <w:rPr>
          <w:rFonts w:ascii="Calibri" w:eastAsia="Calibri" w:hAnsi="Calibri" w:cs="Calibri"/>
          <w:b w:val="0"/>
          <w:bCs w:val="0"/>
          <w:i/>
          <w:iCs/>
          <w:color w:val="000000"/>
          <w:sz w:val="22"/>
          <w:szCs w:val="22"/>
          <w:u w:color="000000"/>
        </w:rPr>
        <w:t>(Applications not retained are destroyed once the application process is co</w:t>
      </w:r>
      <w:r>
        <w:rPr>
          <w:rFonts w:ascii="Calibri" w:eastAsia="Calibri" w:hAnsi="Calibri" w:cs="Calibri"/>
          <w:b w:val="0"/>
          <w:bCs w:val="0"/>
          <w:i/>
          <w:iCs/>
          <w:color w:val="000000"/>
          <w:sz w:val="22"/>
          <w:szCs w:val="22"/>
          <w:u w:color="000000"/>
        </w:rPr>
        <w:t>mplete.)</w:t>
      </w:r>
      <w:r>
        <w:rPr>
          <w:rFonts w:ascii="Calibri" w:eastAsia="Calibri" w:hAnsi="Calibri" w:cs="Calibri"/>
          <w:b w:val="0"/>
          <w:bCs w:val="0"/>
          <w:color w:val="000000"/>
          <w:sz w:val="22"/>
          <w:szCs w:val="22"/>
          <w:u w:color="000000"/>
        </w:rPr>
        <w:t xml:space="preserve">    YES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NO    </w:t>
      </w:r>
    </w:p>
    <w:p w14:paraId="55CE43E0" w14:textId="77777777" w:rsidR="00A4777C" w:rsidRDefault="00A4777C">
      <w:pPr>
        <w:pStyle w:val="StaffH1"/>
        <w:pBdr>
          <w:top w:val="single" w:sz="4" w:space="0" w:color="000000"/>
        </w:pBdr>
        <w:spacing w:before="240"/>
        <w:sectPr w:rsidR="00A4777C">
          <w:headerReference w:type="default" r:id="rId10"/>
          <w:footerReference w:type="default" r:id="rId11"/>
          <w:pgSz w:w="12240" w:h="15840"/>
          <w:pgMar w:top="1440" w:right="1440" w:bottom="1440" w:left="1440" w:header="11" w:footer="720" w:gutter="0"/>
          <w:cols w:space="720"/>
        </w:sectPr>
      </w:pPr>
    </w:p>
    <w:p w14:paraId="55CE43E1" w14:textId="77777777" w:rsidR="00A4777C" w:rsidRDefault="00A4777C">
      <w:pPr>
        <w:pStyle w:val="StaffH1"/>
        <w:pBdr>
          <w:top w:val="single" w:sz="4" w:space="0" w:color="808080"/>
        </w:pBdr>
        <w:spacing w:before="240" w:line="72" w:lineRule="auto"/>
        <w:rPr>
          <w:rFonts w:ascii="Calibri" w:eastAsia="Calibri" w:hAnsi="Calibri" w:cs="Calibri"/>
          <w:color w:val="000000"/>
          <w:sz w:val="22"/>
          <w:szCs w:val="22"/>
          <w:u w:color="000000"/>
        </w:rPr>
      </w:pPr>
    </w:p>
    <w:p w14:paraId="55CE43E2" w14:textId="77777777" w:rsidR="00A4777C" w:rsidRDefault="00C0761B">
      <w:pPr>
        <w:pStyle w:val="StaffH1"/>
        <w:spacing w:before="240"/>
        <w:rPr>
          <w:rFonts w:ascii="Calibri" w:eastAsia="Calibri" w:hAnsi="Calibri" w:cs="Calibri"/>
          <w:color w:val="000000"/>
          <w:sz w:val="22"/>
          <w:szCs w:val="22"/>
          <w:u w:color="000000"/>
        </w:rPr>
      </w:pPr>
      <w:r>
        <w:rPr>
          <w:rFonts w:ascii="Calibri" w:eastAsia="Calibri" w:hAnsi="Calibri" w:cs="Calibri"/>
          <w:color w:val="000000"/>
          <w:sz w:val="22"/>
          <w:szCs w:val="22"/>
          <w:u w:color="000000"/>
        </w:rPr>
        <w:t>Please highlight any group you identify as being a part of:</w:t>
      </w:r>
    </w:p>
    <w:p w14:paraId="55CE43E3" w14:textId="77777777" w:rsidR="00A4777C" w:rsidRDefault="00A4777C">
      <w:pPr>
        <w:pStyle w:val="StaffH1"/>
        <w:spacing w:before="0" w:after="80"/>
        <w:sectPr w:rsidR="00A4777C">
          <w:type w:val="continuous"/>
          <w:pgSz w:w="12240" w:h="15840"/>
          <w:pgMar w:top="1440" w:right="1440" w:bottom="1440" w:left="1440" w:header="11" w:footer="720" w:gutter="0"/>
          <w:cols w:space="720"/>
        </w:sectPr>
      </w:pPr>
    </w:p>
    <w:p w14:paraId="55CE43E4" w14:textId="77777777" w:rsidR="00A4777C" w:rsidRDefault="00C0761B">
      <w:pPr>
        <w:pStyle w:val="StaffH1"/>
        <w:numPr>
          <w:ilvl w:val="0"/>
          <w:numId w:val="4"/>
        </w:numPr>
        <w:spacing w:before="0" w:after="80"/>
        <w:rPr>
          <w:rFonts w:ascii="Calibri" w:eastAsia="Calibri" w:hAnsi="Calibri" w:cs="Calibri"/>
          <w:b w:val="0"/>
          <w:bCs w:val="0"/>
          <w:color w:val="000000"/>
          <w:sz w:val="22"/>
          <w:szCs w:val="22"/>
        </w:rPr>
      </w:pPr>
      <w:r>
        <w:rPr>
          <w:rFonts w:ascii="Calibri" w:eastAsia="Calibri" w:hAnsi="Calibri" w:cs="Calibri"/>
          <w:b w:val="0"/>
          <w:bCs w:val="0"/>
          <w:color w:val="000000"/>
          <w:sz w:val="22"/>
          <w:szCs w:val="22"/>
          <w:u w:color="000000"/>
        </w:rPr>
        <w:t>Living with a disability/chronic condition</w:t>
      </w:r>
    </w:p>
    <w:p w14:paraId="55CE43E5" w14:textId="77777777" w:rsidR="00A4777C" w:rsidRDefault="00C0761B">
      <w:pPr>
        <w:pStyle w:val="StaffH1"/>
        <w:numPr>
          <w:ilvl w:val="0"/>
          <w:numId w:val="4"/>
        </w:numPr>
        <w:spacing w:before="0" w:after="80"/>
        <w:rPr>
          <w:rFonts w:ascii="Calibri" w:eastAsia="Calibri" w:hAnsi="Calibri" w:cs="Calibri"/>
          <w:b w:val="0"/>
          <w:bCs w:val="0"/>
          <w:color w:val="000000"/>
          <w:sz w:val="22"/>
          <w:szCs w:val="22"/>
        </w:rPr>
      </w:pPr>
      <w:r>
        <w:rPr>
          <w:rFonts w:ascii="Calibri" w:eastAsia="Calibri" w:hAnsi="Calibri" w:cs="Calibri"/>
          <w:b w:val="0"/>
          <w:bCs w:val="0"/>
          <w:color w:val="000000"/>
          <w:sz w:val="22"/>
          <w:szCs w:val="22"/>
          <w:u w:color="000000"/>
        </w:rPr>
        <w:t xml:space="preserve">Caring for </w:t>
      </w:r>
      <w:r>
        <w:rPr>
          <w:rFonts w:ascii="Calibri" w:eastAsia="Calibri" w:hAnsi="Calibri" w:cs="Calibri"/>
          <w:b w:val="0"/>
          <w:bCs w:val="0"/>
          <w:color w:val="000000"/>
          <w:sz w:val="22"/>
          <w:szCs w:val="22"/>
          <w:u w:color="000000"/>
        </w:rPr>
        <w:t>someone with a disability</w:t>
      </w:r>
    </w:p>
    <w:p w14:paraId="55CE43E6" w14:textId="77777777" w:rsidR="00A4777C" w:rsidRDefault="00C0761B">
      <w:pPr>
        <w:pStyle w:val="StaffH1"/>
        <w:numPr>
          <w:ilvl w:val="0"/>
          <w:numId w:val="4"/>
        </w:numPr>
        <w:spacing w:before="0" w:after="80"/>
        <w:rPr>
          <w:rFonts w:ascii="Calibri" w:eastAsia="Calibri" w:hAnsi="Calibri" w:cs="Calibri"/>
          <w:b w:val="0"/>
          <w:bCs w:val="0"/>
          <w:color w:val="000000"/>
          <w:sz w:val="22"/>
          <w:szCs w:val="22"/>
        </w:rPr>
      </w:pPr>
      <w:r>
        <w:rPr>
          <w:rFonts w:ascii="Calibri" w:eastAsia="Calibri" w:hAnsi="Calibri" w:cs="Calibri"/>
          <w:b w:val="0"/>
          <w:bCs w:val="0"/>
          <w:color w:val="000000"/>
          <w:sz w:val="22"/>
          <w:szCs w:val="22"/>
          <w:u w:color="000000"/>
        </w:rPr>
        <w:t>Physically isolated or transport disadvantaged</w:t>
      </w:r>
    </w:p>
    <w:p w14:paraId="55CE43E7" w14:textId="77777777" w:rsidR="00A4777C" w:rsidRDefault="00C0761B">
      <w:pPr>
        <w:pStyle w:val="StaffH1"/>
        <w:numPr>
          <w:ilvl w:val="0"/>
          <w:numId w:val="4"/>
        </w:numPr>
        <w:spacing w:before="0" w:after="80"/>
        <w:rPr>
          <w:rFonts w:ascii="Calibri" w:eastAsia="Calibri" w:hAnsi="Calibri" w:cs="Calibri"/>
          <w:b w:val="0"/>
          <w:bCs w:val="0"/>
          <w:color w:val="000000"/>
          <w:sz w:val="22"/>
          <w:szCs w:val="22"/>
        </w:rPr>
      </w:pPr>
      <w:r>
        <w:rPr>
          <w:rFonts w:ascii="Calibri" w:eastAsia="Calibri" w:hAnsi="Calibri" w:cs="Calibri"/>
          <w:b w:val="0"/>
          <w:bCs w:val="0"/>
          <w:color w:val="000000"/>
          <w:sz w:val="22"/>
          <w:szCs w:val="22"/>
          <w:u w:color="000000"/>
        </w:rPr>
        <w:t>Culturally or linguistically diverse</w:t>
      </w:r>
    </w:p>
    <w:p w14:paraId="55CE43E8" w14:textId="77777777" w:rsidR="00A4777C" w:rsidRDefault="00C0761B">
      <w:pPr>
        <w:pStyle w:val="StaffH1"/>
        <w:numPr>
          <w:ilvl w:val="0"/>
          <w:numId w:val="4"/>
        </w:numPr>
        <w:spacing w:before="0" w:after="80"/>
        <w:rPr>
          <w:rFonts w:ascii="Calibri" w:eastAsia="Calibri" w:hAnsi="Calibri" w:cs="Calibri"/>
          <w:b w:val="0"/>
          <w:bCs w:val="0"/>
          <w:color w:val="000000"/>
          <w:sz w:val="22"/>
          <w:szCs w:val="22"/>
        </w:rPr>
      </w:pPr>
      <w:r>
        <w:rPr>
          <w:rFonts w:ascii="Calibri" w:eastAsia="Calibri" w:hAnsi="Calibri" w:cs="Calibri"/>
          <w:b w:val="0"/>
          <w:bCs w:val="0"/>
          <w:color w:val="000000"/>
          <w:sz w:val="22"/>
          <w:szCs w:val="22"/>
          <w:u w:color="000000"/>
        </w:rPr>
        <w:t>From a non-English speaking background</w:t>
      </w:r>
    </w:p>
    <w:p w14:paraId="55CE43E9" w14:textId="77777777" w:rsidR="00A4777C" w:rsidRDefault="00A4777C">
      <w:pPr>
        <w:pStyle w:val="StaffH1"/>
        <w:spacing w:before="0" w:after="80" w:line="72" w:lineRule="auto"/>
        <w:rPr>
          <w:rFonts w:ascii="Calibri" w:eastAsia="Calibri" w:hAnsi="Calibri" w:cs="Calibri"/>
          <w:b w:val="0"/>
          <w:bCs w:val="0"/>
          <w:color w:val="000000"/>
          <w:sz w:val="22"/>
          <w:szCs w:val="22"/>
          <w:u w:color="000000"/>
        </w:rPr>
      </w:pPr>
    </w:p>
    <w:p w14:paraId="55CE43EA" w14:textId="77777777" w:rsidR="00A4777C" w:rsidRDefault="00A4777C">
      <w:pPr>
        <w:pStyle w:val="StaffH1"/>
        <w:pBdr>
          <w:top w:val="single" w:sz="4" w:space="0" w:color="808080"/>
        </w:pBdr>
        <w:spacing w:before="0" w:after="80" w:line="72" w:lineRule="auto"/>
        <w:rPr>
          <w:rFonts w:ascii="Calibri" w:eastAsia="Calibri" w:hAnsi="Calibri" w:cs="Calibri"/>
          <w:b w:val="0"/>
          <w:bCs w:val="0"/>
          <w:color w:val="000000"/>
          <w:sz w:val="22"/>
          <w:szCs w:val="22"/>
          <w:u w:color="000000"/>
        </w:rPr>
      </w:pPr>
    </w:p>
    <w:p w14:paraId="55CE43EB" w14:textId="77777777" w:rsidR="00A4777C" w:rsidRDefault="00C0761B">
      <w:pPr>
        <w:pStyle w:val="StaffH1"/>
        <w:spacing w:before="0" w:after="240"/>
        <w:rPr>
          <w:rFonts w:ascii="Calibri" w:eastAsia="Calibri" w:hAnsi="Calibri" w:cs="Calibri"/>
          <w:b w:val="0"/>
          <w:bCs w:val="0"/>
          <w:color w:val="000000"/>
          <w:sz w:val="22"/>
          <w:szCs w:val="22"/>
          <w:u w:color="000000"/>
        </w:rPr>
      </w:pPr>
      <w:r>
        <w:rPr>
          <w:rFonts w:ascii="Calibri" w:eastAsia="Calibri" w:hAnsi="Calibri" w:cs="Calibri"/>
          <w:color w:val="000000"/>
          <w:sz w:val="22"/>
          <w:szCs w:val="22"/>
          <w:u w:color="000000"/>
        </w:rPr>
        <w:t>Do you identify as:</w:t>
      </w:r>
      <w:r>
        <w:rPr>
          <w:rFonts w:ascii="Calibri" w:eastAsia="Calibri" w:hAnsi="Calibri" w:cs="Calibri"/>
          <w:b w:val="0"/>
          <w:bCs w:val="0"/>
          <w:color w:val="000000"/>
          <w:sz w:val="22"/>
          <w:szCs w:val="22"/>
          <w:u w:color="000000"/>
        </w:rPr>
        <w:t xml:space="preserve"> Aboriginal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Torres Strait Islander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Both </w:t>
      </w:r>
      <w:r>
        <w:rPr>
          <w:rFonts w:ascii="Calibri" w:eastAsia="Calibri" w:hAnsi="Calibri" w:cs="Calibri"/>
          <w:b w:val="0"/>
          <w:bCs w:val="0"/>
          <w:color w:val="A6A6A6"/>
          <w:sz w:val="22"/>
          <w:szCs w:val="22"/>
          <w:u w:color="A6A6A6"/>
        </w:rPr>
        <w:t>|</w:t>
      </w:r>
      <w:r>
        <w:rPr>
          <w:rFonts w:ascii="Calibri" w:eastAsia="Calibri" w:hAnsi="Calibri" w:cs="Calibri"/>
          <w:b w:val="0"/>
          <w:bCs w:val="0"/>
          <w:color w:val="000000"/>
          <w:sz w:val="22"/>
          <w:szCs w:val="22"/>
          <w:u w:color="000000"/>
        </w:rPr>
        <w:t xml:space="preserve"> Prefer not to state</w:t>
      </w:r>
    </w:p>
    <w:p w14:paraId="55CE43EC" w14:textId="77777777" w:rsidR="00A4777C" w:rsidRDefault="00C0761B">
      <w:pPr>
        <w:pStyle w:val="StaffH1"/>
        <w:spacing w:before="0" w:after="80"/>
        <w:rPr>
          <w:rFonts w:ascii="Calibri" w:eastAsia="Calibri" w:hAnsi="Calibri" w:cs="Calibri"/>
          <w:b w:val="0"/>
          <w:bCs w:val="0"/>
          <w:color w:val="000000"/>
          <w:sz w:val="22"/>
          <w:szCs w:val="22"/>
          <w:u w:color="000000"/>
        </w:rPr>
      </w:pPr>
      <w:r>
        <w:rPr>
          <w:rFonts w:ascii="Calibri" w:eastAsia="Calibri" w:hAnsi="Calibri" w:cs="Calibri"/>
          <w:color w:val="000000"/>
          <w:sz w:val="22"/>
          <w:szCs w:val="22"/>
          <w:u w:color="000000"/>
        </w:rPr>
        <w:t>Are you a:</w:t>
      </w:r>
      <w:r>
        <w:rPr>
          <w:rFonts w:ascii="Calibri" w:eastAsia="Calibri" w:hAnsi="Calibri" w:cs="Calibri"/>
          <w:b w:val="0"/>
          <w:bCs w:val="0"/>
          <w:color w:val="000000"/>
          <w:sz w:val="22"/>
          <w:szCs w:val="22"/>
          <w:u w:color="000000"/>
        </w:rPr>
        <w:t xml:space="preserve"> Consumer </w:t>
      </w:r>
      <w:r>
        <w:rPr>
          <w:rFonts w:ascii="Calibri" w:eastAsia="Calibri" w:hAnsi="Calibri" w:cs="Calibri"/>
          <w:b w:val="0"/>
          <w:bCs w:val="0"/>
          <w:color w:val="A6A6A6"/>
          <w:sz w:val="22"/>
          <w:szCs w:val="22"/>
          <w:u w:color="A6A6A6"/>
        </w:rPr>
        <w:t xml:space="preserve">| </w:t>
      </w:r>
      <w:r>
        <w:rPr>
          <w:rFonts w:ascii="Calibri" w:eastAsia="Calibri" w:hAnsi="Calibri" w:cs="Calibri"/>
          <w:b w:val="0"/>
          <w:bCs w:val="0"/>
          <w:color w:val="000000"/>
          <w:sz w:val="22"/>
          <w:szCs w:val="22"/>
          <w:u w:color="000000"/>
        </w:rPr>
        <w:t>Carer</w:t>
      </w:r>
    </w:p>
    <w:p w14:paraId="55CE43ED" w14:textId="77777777" w:rsidR="00A4777C" w:rsidRDefault="00A4777C">
      <w:pPr>
        <w:pStyle w:val="StaffH1"/>
        <w:pBdr>
          <w:top w:val="single" w:sz="4" w:space="0" w:color="808080"/>
        </w:pBdr>
        <w:spacing w:before="0" w:after="80" w:line="72" w:lineRule="auto"/>
        <w:rPr>
          <w:rFonts w:ascii="Calibri" w:eastAsia="Calibri" w:hAnsi="Calibri" w:cs="Calibri"/>
          <w:b w:val="0"/>
          <w:bCs w:val="0"/>
          <w:color w:val="000000"/>
          <w:sz w:val="22"/>
          <w:szCs w:val="22"/>
          <w:u w:color="000000"/>
        </w:rPr>
      </w:pPr>
    </w:p>
    <w:p w14:paraId="55CE43EE" w14:textId="77777777" w:rsidR="00A4777C" w:rsidRDefault="00C0761B">
      <w:pPr>
        <w:pStyle w:val="StaffH1"/>
        <w:spacing w:before="0" w:after="80"/>
        <w:rPr>
          <w:rFonts w:ascii="Calibri" w:eastAsia="Calibri" w:hAnsi="Calibri" w:cs="Calibri"/>
          <w:b w:val="0"/>
          <w:bCs w:val="0"/>
          <w:color w:val="000000"/>
          <w:sz w:val="22"/>
          <w:szCs w:val="22"/>
          <w:u w:color="000000"/>
        </w:rPr>
      </w:pPr>
      <w:r>
        <w:rPr>
          <w:rFonts w:ascii="Calibri" w:eastAsia="Calibri" w:hAnsi="Calibri" w:cs="Calibri"/>
          <w:color w:val="000000"/>
          <w:sz w:val="22"/>
          <w:szCs w:val="22"/>
          <w:u w:color="000000"/>
        </w:rPr>
        <w:t>Ag</w:t>
      </w:r>
      <w:r>
        <w:rPr>
          <w:rFonts w:ascii="Calibri" w:eastAsia="Calibri" w:hAnsi="Calibri" w:cs="Calibri"/>
          <w:color w:val="000000"/>
          <w:sz w:val="22"/>
          <w:szCs w:val="22"/>
          <w:u w:color="000000"/>
        </w:rPr>
        <w:t>e</w:t>
      </w:r>
      <w:r>
        <w:rPr>
          <w:rFonts w:ascii="Calibri" w:eastAsia="Calibri" w:hAnsi="Calibri" w:cs="Calibri"/>
          <w:color w:val="000000"/>
          <w:spacing w:val="-3"/>
          <w:sz w:val="22"/>
          <w:szCs w:val="22"/>
          <w:u w:color="000000"/>
        </w:rPr>
        <w:t xml:space="preserve"> </w:t>
      </w:r>
      <w:r>
        <w:rPr>
          <w:rFonts w:ascii="Calibri" w:eastAsia="Calibri" w:hAnsi="Calibri" w:cs="Calibri"/>
          <w:color w:val="000000"/>
          <w:sz w:val="22"/>
          <w:szCs w:val="22"/>
          <w:u w:color="000000"/>
        </w:rPr>
        <w:t>rang</w:t>
      </w:r>
      <w:r>
        <w:rPr>
          <w:rFonts w:ascii="Calibri" w:eastAsia="Calibri" w:hAnsi="Calibri" w:cs="Calibri"/>
          <w:color w:val="000000"/>
          <w:sz w:val="22"/>
          <w:szCs w:val="22"/>
          <w:u w:color="000000"/>
        </w:rPr>
        <w:t>e:</w:t>
      </w:r>
      <w:r>
        <w:rPr>
          <w:rFonts w:ascii="Calibri" w:eastAsia="Calibri" w:hAnsi="Calibri" w:cs="Calibri"/>
          <w:b w:val="0"/>
          <w:bCs w:val="0"/>
          <w:color w:val="000000"/>
          <w:sz w:val="22"/>
          <w:szCs w:val="22"/>
          <w:u w:color="000000"/>
        </w:rPr>
        <w:t xml:space="preserve">         </w:t>
      </w:r>
      <w:r>
        <w:rPr>
          <w:rFonts w:ascii="Calibri" w:eastAsia="Calibri" w:hAnsi="Calibri" w:cs="Calibri"/>
          <w:b w:val="0"/>
          <w:bCs w:val="0"/>
          <w:color w:val="000000"/>
          <w:sz w:val="22"/>
          <w:szCs w:val="22"/>
          <w:u w:color="000000"/>
        </w:rPr>
        <w:t>16</w:t>
      </w:r>
      <w:r>
        <w:rPr>
          <w:rFonts w:ascii="Calibri" w:eastAsia="Calibri" w:hAnsi="Calibri" w:cs="Calibri"/>
          <w:b w:val="0"/>
          <w:bCs w:val="0"/>
          <w:color w:val="000000"/>
          <w:spacing w:val="-3"/>
          <w:sz w:val="22"/>
          <w:szCs w:val="22"/>
          <w:u w:color="000000"/>
        </w:rPr>
        <w:t>-</w:t>
      </w:r>
      <w:r>
        <w:rPr>
          <w:rFonts w:ascii="Calibri" w:eastAsia="Calibri" w:hAnsi="Calibri" w:cs="Calibri"/>
          <w:b w:val="0"/>
          <w:bCs w:val="0"/>
          <w:color w:val="000000"/>
          <w:sz w:val="22"/>
          <w:szCs w:val="22"/>
          <w:u w:color="000000"/>
        </w:rPr>
        <w:t>2</w:t>
      </w:r>
      <w:r>
        <w:rPr>
          <w:rFonts w:ascii="Calibri" w:eastAsia="Calibri" w:hAnsi="Calibri" w:cs="Calibri"/>
          <w:b w:val="0"/>
          <w:bCs w:val="0"/>
          <w:color w:val="000000"/>
          <w:sz w:val="22"/>
          <w:szCs w:val="22"/>
          <w:u w:color="000000"/>
        </w:rPr>
        <w:t>4</w:t>
      </w:r>
      <w:r>
        <w:rPr>
          <w:rFonts w:ascii="Calibri" w:eastAsia="Calibri" w:hAnsi="Calibri" w:cs="Calibri"/>
          <w:b w:val="0"/>
          <w:bCs w:val="0"/>
          <w:color w:val="000000"/>
          <w:sz w:val="22"/>
          <w:szCs w:val="22"/>
          <w:u w:color="000000"/>
        </w:rPr>
        <w:t xml:space="preserve">     25</w:t>
      </w:r>
      <w:r>
        <w:rPr>
          <w:rFonts w:ascii="Calibri" w:eastAsia="Calibri" w:hAnsi="Calibri" w:cs="Calibri"/>
          <w:b w:val="0"/>
          <w:bCs w:val="0"/>
          <w:color w:val="000000"/>
          <w:spacing w:val="-3"/>
          <w:sz w:val="22"/>
          <w:szCs w:val="22"/>
          <w:u w:color="000000"/>
        </w:rPr>
        <w:t>-29</w:t>
      </w:r>
      <w:r>
        <w:rPr>
          <w:rFonts w:ascii="Calibri" w:eastAsia="Calibri" w:hAnsi="Calibri" w:cs="Calibri"/>
          <w:b w:val="0"/>
          <w:bCs w:val="0"/>
          <w:color w:val="000000"/>
          <w:sz w:val="22"/>
          <w:szCs w:val="22"/>
          <w:u w:color="000000"/>
        </w:rPr>
        <w:t xml:space="preserve">     30-39     40-49     50-59      60-69     70+</w:t>
      </w:r>
    </w:p>
    <w:p w14:paraId="55CE43EF" w14:textId="77777777" w:rsidR="00A4777C" w:rsidRDefault="00A4777C">
      <w:pPr>
        <w:pStyle w:val="StaffH1"/>
        <w:pBdr>
          <w:top w:val="single" w:sz="4" w:space="0" w:color="808080"/>
        </w:pBdr>
        <w:spacing w:before="0" w:after="80" w:line="72" w:lineRule="auto"/>
        <w:rPr>
          <w:rFonts w:ascii="Calibri" w:eastAsia="Calibri" w:hAnsi="Calibri" w:cs="Calibri"/>
          <w:b w:val="0"/>
          <w:bCs w:val="0"/>
          <w:color w:val="000000"/>
          <w:sz w:val="22"/>
          <w:szCs w:val="22"/>
          <w:u w:color="000000"/>
        </w:rPr>
      </w:pPr>
    </w:p>
    <w:p w14:paraId="55CE43F0" w14:textId="77777777" w:rsidR="00A4777C" w:rsidRDefault="00C0761B">
      <w:pPr>
        <w:pStyle w:val="StaffH1"/>
        <w:rPr>
          <w:rFonts w:ascii="Calibri" w:eastAsia="Calibri" w:hAnsi="Calibri" w:cs="Calibri"/>
          <w:b w:val="0"/>
          <w:bCs w:val="0"/>
          <w:i/>
          <w:iCs/>
          <w:color w:val="000000"/>
          <w:sz w:val="22"/>
          <w:szCs w:val="22"/>
          <w:u w:color="000000"/>
        </w:rPr>
      </w:pPr>
      <w:r>
        <w:rPr>
          <w:rFonts w:ascii="Calibri" w:eastAsia="Calibri" w:hAnsi="Calibri" w:cs="Calibri"/>
          <w:color w:val="000000"/>
          <w:sz w:val="22"/>
          <w:szCs w:val="22"/>
          <w:u w:color="000000"/>
        </w:rPr>
        <w:t xml:space="preserve">Please describe any support you need to take part in this activity </w:t>
      </w:r>
      <w:r>
        <w:rPr>
          <w:rFonts w:ascii="Calibri" w:eastAsia="Calibri" w:hAnsi="Calibri" w:cs="Calibri"/>
          <w:b w:val="0"/>
          <w:bCs w:val="0"/>
          <w:i/>
          <w:iCs/>
          <w:color w:val="000000"/>
          <w:sz w:val="22"/>
          <w:szCs w:val="22"/>
          <w:u w:color="000000"/>
        </w:rPr>
        <w:t>(examples include support person, hearing loop, dietary requirements)</w:t>
      </w:r>
    </w:p>
    <w:p w14:paraId="55CE43F1" w14:textId="77777777" w:rsidR="00A4777C" w:rsidRDefault="00A4777C">
      <w:pPr>
        <w:pStyle w:val="StaffH1"/>
        <w:rPr>
          <w:rFonts w:ascii="Calibri" w:eastAsia="Calibri" w:hAnsi="Calibri" w:cs="Calibri"/>
          <w:b w:val="0"/>
          <w:bCs w:val="0"/>
          <w:i/>
          <w:iCs/>
          <w:color w:val="000000"/>
          <w:sz w:val="22"/>
          <w:szCs w:val="22"/>
          <w:u w:color="000000"/>
        </w:rPr>
      </w:pPr>
    </w:p>
    <w:p w14:paraId="55CE43F2" w14:textId="77777777" w:rsidR="00A4777C" w:rsidRDefault="00A4777C">
      <w:pPr>
        <w:pStyle w:val="StaffH1"/>
        <w:rPr>
          <w:rFonts w:ascii="Calibri" w:eastAsia="Calibri" w:hAnsi="Calibri" w:cs="Calibri"/>
          <w:b w:val="0"/>
          <w:bCs w:val="0"/>
          <w:i/>
          <w:iCs/>
          <w:color w:val="000000"/>
          <w:sz w:val="20"/>
          <w:szCs w:val="20"/>
          <w:u w:color="000000"/>
        </w:rPr>
      </w:pPr>
    </w:p>
    <w:p w14:paraId="55CE43F3" w14:textId="77777777" w:rsidR="00A4777C" w:rsidRDefault="00A4777C">
      <w:pPr>
        <w:pStyle w:val="StaffH1"/>
        <w:rPr>
          <w:rFonts w:ascii="Calibri" w:eastAsia="Calibri" w:hAnsi="Calibri" w:cs="Calibri"/>
          <w:b w:val="0"/>
          <w:bCs w:val="0"/>
          <w:i/>
          <w:iCs/>
          <w:color w:val="000000"/>
          <w:sz w:val="20"/>
          <w:szCs w:val="20"/>
          <w:u w:color="000000"/>
        </w:rPr>
      </w:pPr>
    </w:p>
    <w:p w14:paraId="55CE43F4" w14:textId="77777777" w:rsidR="00A4777C" w:rsidRDefault="00A4777C">
      <w:pPr>
        <w:pStyle w:val="StaffH1"/>
        <w:rPr>
          <w:rFonts w:ascii="Calibri" w:eastAsia="Calibri" w:hAnsi="Calibri" w:cs="Calibri"/>
          <w:b w:val="0"/>
          <w:bCs w:val="0"/>
          <w:i/>
          <w:iCs/>
          <w:color w:val="000000"/>
          <w:sz w:val="20"/>
          <w:szCs w:val="20"/>
          <w:u w:color="000000"/>
        </w:rPr>
      </w:pPr>
    </w:p>
    <w:p w14:paraId="55CE43F5" w14:textId="77777777" w:rsidR="00A4777C" w:rsidRDefault="00C0761B">
      <w:pPr>
        <w:pStyle w:val="StaffH1"/>
        <w:rPr>
          <w:rFonts w:ascii="Calibri" w:eastAsia="Calibri" w:hAnsi="Calibri" w:cs="Calibri"/>
          <w:i/>
          <w:iCs/>
          <w:sz w:val="22"/>
          <w:szCs w:val="22"/>
        </w:rPr>
      </w:pPr>
      <w:r>
        <w:rPr>
          <w:rFonts w:ascii="Calibri" w:eastAsia="Calibri" w:hAnsi="Calibri" w:cs="Calibri"/>
          <w:i/>
          <w:iCs/>
          <w:sz w:val="22"/>
          <w:szCs w:val="22"/>
        </w:rPr>
        <w:t>Your responses to the</w:t>
      </w:r>
      <w:r>
        <w:rPr>
          <w:rFonts w:ascii="Calibri" w:eastAsia="Calibri" w:hAnsi="Calibri" w:cs="Calibri"/>
          <w:i/>
          <w:iCs/>
          <w:sz w:val="22"/>
          <w:szCs w:val="22"/>
        </w:rPr>
        <w:t xml:space="preserve"> following questions only need to be a brief sentence or two</w:t>
      </w:r>
    </w:p>
    <w:p w14:paraId="55CE43F6" w14:textId="77777777" w:rsidR="00A4777C" w:rsidRDefault="00C0761B">
      <w:pPr>
        <w:pStyle w:val="StaffH1"/>
        <w:numPr>
          <w:ilvl w:val="0"/>
          <w:numId w:val="5"/>
        </w:numPr>
        <w:rPr>
          <w:rFonts w:ascii="Calibri" w:eastAsia="Calibri" w:hAnsi="Calibri" w:cs="Calibri"/>
          <w:b w:val="0"/>
          <w:bCs w:val="0"/>
          <w:i/>
          <w:iCs/>
          <w:color w:val="000000"/>
          <w:sz w:val="22"/>
          <w:szCs w:val="22"/>
        </w:rPr>
      </w:pPr>
      <w:r>
        <w:rPr>
          <w:rFonts w:ascii="Calibri" w:eastAsia="Calibri" w:hAnsi="Calibri" w:cs="Calibri"/>
          <w:color w:val="000000"/>
          <w:sz w:val="22"/>
          <w:szCs w:val="22"/>
          <w:u w:color="000000"/>
        </w:rPr>
        <w:t xml:space="preserve">Please describe your experience as a health consumer representative including committees, focus groups, surveys, governance roles, etc. </w:t>
      </w:r>
    </w:p>
    <w:p w14:paraId="55CE43F7" w14:textId="77777777" w:rsidR="00A4777C" w:rsidRDefault="00C0761B">
      <w:pPr>
        <w:pStyle w:val="StaffH1"/>
        <w:rPr>
          <w:rFonts w:ascii="Calibri" w:eastAsia="Calibri" w:hAnsi="Calibri" w:cs="Calibri"/>
          <w:b w:val="0"/>
          <w:bCs w:val="0"/>
          <w:i/>
          <w:iCs/>
          <w:color w:val="808080"/>
          <w:sz w:val="22"/>
          <w:szCs w:val="22"/>
          <w:u w:color="808080"/>
        </w:rPr>
      </w:pPr>
      <w:r>
        <w:rPr>
          <w:rFonts w:ascii="Calibri" w:eastAsia="Calibri" w:hAnsi="Calibri" w:cs="Calibri"/>
          <w:b w:val="0"/>
          <w:bCs w:val="0"/>
          <w:i/>
          <w:iCs/>
          <w:color w:val="808080"/>
          <w:sz w:val="22"/>
          <w:szCs w:val="22"/>
          <w:u w:color="808080"/>
        </w:rPr>
        <w:t xml:space="preserve">Tip: Past consumer representative positions that have </w:t>
      </w:r>
      <w:r>
        <w:rPr>
          <w:rFonts w:ascii="Calibri" w:eastAsia="Calibri" w:hAnsi="Calibri" w:cs="Calibri"/>
          <w:b w:val="0"/>
          <w:bCs w:val="0"/>
          <w:i/>
          <w:iCs/>
          <w:color w:val="808080"/>
          <w:sz w:val="22"/>
          <w:szCs w:val="22"/>
          <w:u w:color="808080"/>
        </w:rPr>
        <w:t xml:space="preserve">similar requirements to the opportunity you’re expressing interest in. Give an indication of how long each position was for, and any relevant highlights. </w:t>
      </w:r>
    </w:p>
    <w:p w14:paraId="55CE43F8" w14:textId="77777777" w:rsidR="00A4777C" w:rsidRDefault="00A4777C">
      <w:pPr>
        <w:pStyle w:val="StaffH1"/>
        <w:rPr>
          <w:rFonts w:ascii="Calibri" w:eastAsia="Calibri" w:hAnsi="Calibri" w:cs="Calibri"/>
          <w:sz w:val="20"/>
          <w:szCs w:val="20"/>
        </w:rPr>
      </w:pPr>
    </w:p>
    <w:p w14:paraId="55CE43F9" w14:textId="77777777" w:rsidR="00A4777C" w:rsidRDefault="00A4777C">
      <w:pPr>
        <w:pStyle w:val="StaffH1"/>
        <w:rPr>
          <w:rFonts w:ascii="Calibri" w:eastAsia="Calibri" w:hAnsi="Calibri" w:cs="Calibri"/>
          <w:sz w:val="20"/>
          <w:szCs w:val="20"/>
        </w:rPr>
      </w:pPr>
    </w:p>
    <w:p w14:paraId="55CE43FA" w14:textId="77777777" w:rsidR="00A4777C" w:rsidRDefault="00A4777C">
      <w:pPr>
        <w:pStyle w:val="StaffH1"/>
        <w:rPr>
          <w:rFonts w:ascii="Calibri" w:eastAsia="Calibri" w:hAnsi="Calibri" w:cs="Calibri"/>
          <w:sz w:val="20"/>
          <w:szCs w:val="20"/>
        </w:rPr>
      </w:pPr>
    </w:p>
    <w:p w14:paraId="55CE43FB" w14:textId="77777777" w:rsidR="00A4777C" w:rsidRDefault="00A4777C">
      <w:pPr>
        <w:pStyle w:val="StaffH1"/>
        <w:rPr>
          <w:rFonts w:ascii="Calibri" w:eastAsia="Calibri" w:hAnsi="Calibri" w:cs="Calibri"/>
          <w:sz w:val="20"/>
          <w:szCs w:val="20"/>
        </w:rPr>
      </w:pPr>
    </w:p>
    <w:p w14:paraId="55CE43FC" w14:textId="77777777" w:rsidR="00A4777C" w:rsidRDefault="00A4777C">
      <w:pPr>
        <w:pStyle w:val="StaffH1"/>
        <w:rPr>
          <w:rFonts w:ascii="Calibri" w:eastAsia="Calibri" w:hAnsi="Calibri" w:cs="Calibri"/>
          <w:sz w:val="22"/>
          <w:szCs w:val="22"/>
        </w:rPr>
      </w:pPr>
    </w:p>
    <w:p w14:paraId="55CE43FD" w14:textId="77777777" w:rsidR="00A4777C" w:rsidRDefault="00A4777C">
      <w:pPr>
        <w:pStyle w:val="StaffH1"/>
        <w:rPr>
          <w:rFonts w:ascii="Calibri" w:eastAsia="Calibri" w:hAnsi="Calibri" w:cs="Calibri"/>
          <w:sz w:val="22"/>
          <w:szCs w:val="22"/>
        </w:rPr>
      </w:pPr>
    </w:p>
    <w:p w14:paraId="55CE43FE" w14:textId="77777777" w:rsidR="00A4777C" w:rsidRDefault="00A4777C">
      <w:pPr>
        <w:pStyle w:val="StaffH1"/>
        <w:rPr>
          <w:rFonts w:ascii="Calibri" w:eastAsia="Calibri" w:hAnsi="Calibri" w:cs="Calibri"/>
          <w:sz w:val="22"/>
          <w:szCs w:val="22"/>
        </w:rPr>
      </w:pPr>
    </w:p>
    <w:p w14:paraId="55CE43FF" w14:textId="77777777" w:rsidR="00A4777C" w:rsidRDefault="00C0761B">
      <w:pPr>
        <w:pStyle w:val="TableParagraph"/>
        <w:numPr>
          <w:ilvl w:val="0"/>
          <w:numId w:val="5"/>
        </w:numPr>
        <w:rPr>
          <w:b/>
          <w:bCs/>
          <w:i/>
          <w:iCs/>
          <w:color w:val="808080"/>
        </w:rPr>
      </w:pPr>
      <w:r>
        <w:rPr>
          <w:b/>
          <w:bCs/>
        </w:rPr>
        <w:t>Please describe any connections you have to your community (e.g. networks, groups)</w:t>
      </w:r>
      <w:r>
        <w:rPr>
          <w:b/>
          <w:bCs/>
          <w:i/>
          <w:iCs/>
          <w:color w:val="808080"/>
          <w:u w:color="808080"/>
        </w:rPr>
        <w:t xml:space="preserve"> </w:t>
      </w:r>
      <w:r>
        <w:rPr>
          <w:i/>
          <w:iCs/>
          <w:color w:val="808080"/>
          <w:u w:color="808080"/>
        </w:rPr>
        <w:t xml:space="preserve">Tip: Think </w:t>
      </w:r>
      <w:r>
        <w:rPr>
          <w:i/>
          <w:iCs/>
          <w:color w:val="808080"/>
          <w:u w:color="808080"/>
        </w:rPr>
        <w:t xml:space="preserve">about how this relates to the role you’re applying for. </w:t>
      </w:r>
    </w:p>
    <w:p w14:paraId="55CE4400" w14:textId="77777777" w:rsidR="00A4777C" w:rsidRDefault="00A4777C">
      <w:pPr>
        <w:pStyle w:val="TableParagraph"/>
        <w:spacing w:before="118"/>
      </w:pPr>
    </w:p>
    <w:p w14:paraId="55CE4401" w14:textId="77777777" w:rsidR="00A4777C" w:rsidRDefault="00A4777C">
      <w:pPr>
        <w:pStyle w:val="StaffH1"/>
        <w:rPr>
          <w:rFonts w:ascii="Calibri" w:eastAsia="Calibri" w:hAnsi="Calibri" w:cs="Calibri"/>
          <w:b w:val="0"/>
          <w:bCs w:val="0"/>
          <w:i/>
          <w:iCs/>
          <w:color w:val="000000"/>
          <w:sz w:val="22"/>
          <w:szCs w:val="22"/>
          <w:u w:color="000000"/>
        </w:rPr>
      </w:pPr>
    </w:p>
    <w:p w14:paraId="55CE4402" w14:textId="77777777" w:rsidR="00A4777C" w:rsidRDefault="00A4777C">
      <w:pPr>
        <w:pStyle w:val="StaffH1"/>
        <w:rPr>
          <w:rFonts w:ascii="Calibri" w:eastAsia="Calibri" w:hAnsi="Calibri" w:cs="Calibri"/>
          <w:b w:val="0"/>
          <w:bCs w:val="0"/>
          <w:i/>
          <w:iCs/>
          <w:color w:val="000000"/>
          <w:sz w:val="22"/>
          <w:szCs w:val="22"/>
          <w:u w:color="000000"/>
        </w:rPr>
      </w:pPr>
    </w:p>
    <w:p w14:paraId="55CE4403" w14:textId="77777777" w:rsidR="00A4777C" w:rsidRDefault="00A4777C">
      <w:pPr>
        <w:pStyle w:val="StaffH1"/>
        <w:rPr>
          <w:rFonts w:ascii="Calibri" w:eastAsia="Calibri" w:hAnsi="Calibri" w:cs="Calibri"/>
          <w:b w:val="0"/>
          <w:bCs w:val="0"/>
          <w:i/>
          <w:iCs/>
          <w:color w:val="000000"/>
          <w:sz w:val="22"/>
          <w:szCs w:val="22"/>
          <w:u w:color="000000"/>
        </w:rPr>
      </w:pPr>
    </w:p>
    <w:p w14:paraId="55CE4404" w14:textId="77777777" w:rsidR="00A4777C" w:rsidRDefault="00A4777C">
      <w:pPr>
        <w:pStyle w:val="StaffH1"/>
        <w:rPr>
          <w:rFonts w:ascii="Calibri" w:eastAsia="Calibri" w:hAnsi="Calibri" w:cs="Calibri"/>
          <w:b w:val="0"/>
          <w:bCs w:val="0"/>
          <w:i/>
          <w:iCs/>
          <w:color w:val="000000"/>
          <w:sz w:val="22"/>
          <w:szCs w:val="22"/>
          <w:u w:color="000000"/>
        </w:rPr>
      </w:pPr>
    </w:p>
    <w:p w14:paraId="55CE4405" w14:textId="77777777" w:rsidR="00A4777C" w:rsidRDefault="00A4777C">
      <w:pPr>
        <w:pStyle w:val="StaffH1"/>
        <w:rPr>
          <w:rFonts w:ascii="Calibri" w:eastAsia="Calibri" w:hAnsi="Calibri" w:cs="Calibri"/>
          <w:b w:val="0"/>
          <w:bCs w:val="0"/>
          <w:i/>
          <w:iCs/>
          <w:color w:val="000000"/>
          <w:sz w:val="22"/>
          <w:szCs w:val="22"/>
          <w:u w:color="000000"/>
        </w:rPr>
      </w:pPr>
    </w:p>
    <w:p w14:paraId="55CE4406" w14:textId="77777777" w:rsidR="00A4777C" w:rsidRDefault="00C0761B">
      <w:pPr>
        <w:pStyle w:val="StaffH1"/>
        <w:numPr>
          <w:ilvl w:val="0"/>
          <w:numId w:val="5"/>
        </w:numPr>
        <w:rPr>
          <w:rFonts w:ascii="Calibri" w:eastAsia="Calibri" w:hAnsi="Calibri" w:cs="Calibri"/>
          <w:color w:val="000000"/>
          <w:sz w:val="22"/>
          <w:szCs w:val="22"/>
        </w:rPr>
      </w:pPr>
      <w:r>
        <w:rPr>
          <w:rFonts w:ascii="Calibri" w:eastAsia="Calibri" w:hAnsi="Calibri" w:cs="Calibri"/>
          <w:color w:val="000000"/>
          <w:sz w:val="22"/>
          <w:szCs w:val="22"/>
          <w:u w:color="000000"/>
        </w:rPr>
        <w:t>Please describe your interest in this topic</w:t>
      </w:r>
    </w:p>
    <w:p w14:paraId="55CE4407" w14:textId="77777777" w:rsidR="00A4777C" w:rsidRDefault="00C0761B">
      <w:pPr>
        <w:pStyle w:val="StaffH1"/>
        <w:rPr>
          <w:rFonts w:ascii="Calibri" w:eastAsia="Calibri" w:hAnsi="Calibri" w:cs="Calibri"/>
          <w:b w:val="0"/>
          <w:bCs w:val="0"/>
          <w:i/>
          <w:iCs/>
          <w:color w:val="808080"/>
          <w:sz w:val="22"/>
          <w:szCs w:val="22"/>
          <w:u w:color="808080"/>
        </w:rPr>
      </w:pPr>
      <w:r>
        <w:rPr>
          <w:rFonts w:ascii="Calibri" w:eastAsia="Calibri" w:hAnsi="Calibri" w:cs="Calibri"/>
          <w:b w:val="0"/>
          <w:bCs w:val="0"/>
          <w:i/>
          <w:iCs/>
          <w:color w:val="808080"/>
          <w:sz w:val="22"/>
          <w:szCs w:val="22"/>
          <w:u w:color="808080"/>
        </w:rPr>
        <w:t>Tip: Although this section usually requires the longest response, try to keep it concise. Things to consider focusing on here include:</w:t>
      </w:r>
    </w:p>
    <w:p w14:paraId="55CE4408" w14:textId="77777777" w:rsidR="00A4777C" w:rsidRDefault="00C0761B">
      <w:pPr>
        <w:pStyle w:val="StaffH1"/>
        <w:numPr>
          <w:ilvl w:val="0"/>
          <w:numId w:val="5"/>
        </w:numPr>
        <w:rPr>
          <w:rFonts w:ascii="Calibri" w:eastAsia="Calibri" w:hAnsi="Calibri" w:cs="Calibri"/>
          <w:b w:val="0"/>
          <w:bCs w:val="0"/>
          <w:i/>
          <w:iCs/>
          <w:color w:val="808080"/>
          <w:sz w:val="22"/>
          <w:szCs w:val="22"/>
        </w:rPr>
      </w:pPr>
      <w:r>
        <w:rPr>
          <w:rFonts w:ascii="Calibri" w:eastAsia="Calibri" w:hAnsi="Calibri" w:cs="Calibri"/>
          <w:b w:val="0"/>
          <w:bCs w:val="0"/>
          <w:i/>
          <w:iCs/>
          <w:color w:val="808080"/>
          <w:sz w:val="22"/>
          <w:szCs w:val="22"/>
          <w:u w:color="808080"/>
        </w:rPr>
        <w:t>any past lived</w:t>
      </w:r>
      <w:r>
        <w:rPr>
          <w:rFonts w:ascii="Calibri" w:eastAsia="Calibri" w:hAnsi="Calibri" w:cs="Calibri"/>
          <w:b w:val="0"/>
          <w:bCs w:val="0"/>
          <w:i/>
          <w:iCs/>
          <w:color w:val="808080"/>
          <w:sz w:val="22"/>
          <w:szCs w:val="22"/>
          <w:u w:color="808080"/>
        </w:rPr>
        <w:t xml:space="preserve"> experience that shows your understanding of the topic, or</w:t>
      </w:r>
    </w:p>
    <w:p w14:paraId="55CE4409" w14:textId="77777777" w:rsidR="00A4777C" w:rsidRDefault="00C0761B">
      <w:pPr>
        <w:pStyle w:val="StaffH1"/>
        <w:numPr>
          <w:ilvl w:val="0"/>
          <w:numId w:val="5"/>
        </w:numPr>
        <w:rPr>
          <w:rFonts w:ascii="Calibri" w:eastAsia="Calibri" w:hAnsi="Calibri" w:cs="Calibri"/>
          <w:b w:val="0"/>
          <w:bCs w:val="0"/>
          <w:i/>
          <w:iCs/>
          <w:color w:val="808080"/>
          <w:sz w:val="22"/>
          <w:szCs w:val="22"/>
        </w:rPr>
      </w:pPr>
      <w:r>
        <w:rPr>
          <w:rFonts w:ascii="Calibri" w:eastAsia="Calibri" w:hAnsi="Calibri" w:cs="Calibri"/>
          <w:b w:val="0"/>
          <w:bCs w:val="0"/>
          <w:i/>
          <w:iCs/>
          <w:color w:val="808080"/>
          <w:sz w:val="22"/>
          <w:szCs w:val="22"/>
          <w:u w:color="808080"/>
        </w:rPr>
        <w:t>your understanding of the social/health/economic implications of the topic/condition, or</w:t>
      </w:r>
    </w:p>
    <w:p w14:paraId="55CE440A" w14:textId="77777777" w:rsidR="00A4777C" w:rsidRDefault="00C0761B">
      <w:pPr>
        <w:pStyle w:val="StaffH1"/>
        <w:numPr>
          <w:ilvl w:val="0"/>
          <w:numId w:val="5"/>
        </w:numPr>
        <w:rPr>
          <w:rFonts w:ascii="Calibri" w:eastAsia="Calibri" w:hAnsi="Calibri" w:cs="Calibri"/>
          <w:b w:val="0"/>
          <w:bCs w:val="0"/>
          <w:i/>
          <w:iCs/>
          <w:color w:val="808080"/>
          <w:sz w:val="22"/>
          <w:szCs w:val="22"/>
        </w:rPr>
      </w:pPr>
      <w:r>
        <w:rPr>
          <w:rFonts w:ascii="Calibri" w:eastAsia="Calibri" w:hAnsi="Calibri" w:cs="Calibri"/>
          <w:b w:val="0"/>
          <w:bCs w:val="0"/>
          <w:i/>
          <w:iCs/>
          <w:color w:val="808080"/>
          <w:sz w:val="22"/>
          <w:szCs w:val="22"/>
          <w:u w:color="808080"/>
        </w:rPr>
        <w:t>Any systems change that you have identified that will improve care for health consumers, and possible strate</w:t>
      </w:r>
      <w:r>
        <w:rPr>
          <w:rFonts w:ascii="Calibri" w:eastAsia="Calibri" w:hAnsi="Calibri" w:cs="Calibri"/>
          <w:b w:val="0"/>
          <w:bCs w:val="0"/>
          <w:i/>
          <w:iCs/>
          <w:color w:val="808080"/>
          <w:sz w:val="22"/>
          <w:szCs w:val="22"/>
          <w:u w:color="808080"/>
        </w:rPr>
        <w:t xml:space="preserve">gies you could share to affect that change.  </w:t>
      </w:r>
    </w:p>
    <w:p w14:paraId="55CE440B" w14:textId="77777777" w:rsidR="00A4777C" w:rsidRDefault="00A4777C">
      <w:pPr>
        <w:pStyle w:val="StaffH1"/>
        <w:rPr>
          <w:rFonts w:ascii="Calibri" w:eastAsia="Calibri" w:hAnsi="Calibri" w:cs="Calibri"/>
          <w:b w:val="0"/>
          <w:bCs w:val="0"/>
          <w:i/>
          <w:iCs/>
          <w:color w:val="808080"/>
          <w:sz w:val="22"/>
          <w:szCs w:val="22"/>
          <w:u w:color="808080"/>
        </w:rPr>
      </w:pPr>
    </w:p>
    <w:p w14:paraId="55CE440C" w14:textId="77777777" w:rsidR="00A4777C" w:rsidRDefault="00A4777C">
      <w:pPr>
        <w:pStyle w:val="StaffH1"/>
      </w:pPr>
    </w:p>
    <w:sectPr w:rsidR="00A4777C">
      <w:type w:val="continuous"/>
      <w:pgSz w:w="12240" w:h="15840"/>
      <w:pgMar w:top="1440" w:right="1440" w:bottom="1440" w:left="144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E4415" w14:textId="77777777" w:rsidR="00000000" w:rsidRDefault="00C0761B">
      <w:r>
        <w:separator/>
      </w:r>
    </w:p>
  </w:endnote>
  <w:endnote w:type="continuationSeparator" w:id="0">
    <w:p w14:paraId="55CE4417" w14:textId="77777777" w:rsidR="00000000" w:rsidRDefault="00C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4410" w14:textId="52A4EF61" w:rsidR="00A4777C" w:rsidRDefault="00C0761B">
    <w:pPr>
      <w:pStyle w:val="Footer"/>
      <w:tabs>
        <w:tab w:val="clear" w:pos="9360"/>
        <w:tab w:val="right" w:pos="9340"/>
      </w:tabs>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E4411" w14:textId="77777777" w:rsidR="00000000" w:rsidRDefault="00C0761B">
      <w:r>
        <w:separator/>
      </w:r>
    </w:p>
  </w:footnote>
  <w:footnote w:type="continuationSeparator" w:id="0">
    <w:p w14:paraId="55CE4413" w14:textId="77777777" w:rsidR="00000000" w:rsidRDefault="00C0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C0761B" w:rsidRPr="007B1118" w14:paraId="7A46F687" w14:textId="77777777" w:rsidTr="00C53E6B">
      <w:trPr>
        <w:trHeight w:val="20"/>
      </w:trPr>
      <w:tc>
        <w:tcPr>
          <w:tcW w:w="12191" w:type="dxa"/>
          <w:gridSpan w:val="5"/>
          <w:tcBorders>
            <w:top w:val="single" w:sz="4" w:space="0" w:color="FFFFFF"/>
            <w:bottom w:val="nil"/>
            <w:right w:val="nil"/>
          </w:tcBorders>
          <w:shd w:val="clear" w:color="auto" w:fill="650030"/>
        </w:tcPr>
        <w:p w14:paraId="270B5EF7" w14:textId="77777777" w:rsidR="00C0761B" w:rsidRPr="007B1118" w:rsidRDefault="00C0761B" w:rsidP="00C0761B">
          <w:pPr>
            <w:tabs>
              <w:tab w:val="center" w:pos="4513"/>
              <w:tab w:val="right" w:pos="9026"/>
            </w:tabs>
            <w:rPr>
              <w:rFonts w:ascii="Calibri" w:eastAsia="Calibri" w:hAnsi="Calibri" w:cs="Times New Roman"/>
            </w:rPr>
          </w:pPr>
        </w:p>
      </w:tc>
    </w:tr>
    <w:tr w:rsidR="00C0761B" w:rsidRPr="007B1118" w14:paraId="01740174" w14:textId="77777777" w:rsidTr="00C53E6B">
      <w:trPr>
        <w:trHeight w:val="136"/>
      </w:trPr>
      <w:tc>
        <w:tcPr>
          <w:tcW w:w="1981" w:type="dxa"/>
          <w:tcBorders>
            <w:top w:val="nil"/>
            <w:bottom w:val="nil"/>
          </w:tcBorders>
          <w:shd w:val="clear" w:color="auto" w:fill="009297"/>
        </w:tcPr>
        <w:p w14:paraId="0F6CA038" w14:textId="77777777" w:rsidR="00C0761B" w:rsidRPr="007B1118" w:rsidRDefault="00C0761B" w:rsidP="00C0761B">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554B2B88" w14:textId="77777777" w:rsidR="00C0761B" w:rsidRPr="007B1118" w:rsidRDefault="00C0761B" w:rsidP="00C0761B">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D1DA2C" w14:textId="77777777" w:rsidR="00C0761B" w:rsidRPr="007B1118" w:rsidRDefault="00C0761B" w:rsidP="00C0761B">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70AB94AF" w14:textId="77777777" w:rsidR="00C0761B" w:rsidRPr="007B1118" w:rsidRDefault="00C0761B" w:rsidP="00C0761B">
          <w:pPr>
            <w:tabs>
              <w:tab w:val="center" w:pos="4513"/>
              <w:tab w:val="right" w:pos="9026"/>
            </w:tabs>
            <w:rPr>
              <w:rFonts w:ascii="Calibri" w:eastAsia="Calibri" w:hAnsi="Calibri" w:cs="Times New Roman"/>
            </w:rPr>
          </w:pPr>
        </w:p>
      </w:tc>
    </w:tr>
    <w:tr w:rsidR="00C0761B" w:rsidRPr="007B1118" w14:paraId="1C550DE4" w14:textId="77777777" w:rsidTr="00C53E6B">
      <w:trPr>
        <w:trHeight w:val="1269"/>
      </w:trPr>
      <w:tc>
        <w:tcPr>
          <w:tcW w:w="6095" w:type="dxa"/>
          <w:gridSpan w:val="2"/>
          <w:tcBorders>
            <w:top w:val="nil"/>
            <w:bottom w:val="single" w:sz="4" w:space="0" w:color="FFFFFF"/>
            <w:right w:val="nil"/>
          </w:tcBorders>
          <w:shd w:val="clear" w:color="auto" w:fill="650030"/>
          <w:vAlign w:val="center"/>
        </w:tcPr>
        <w:p w14:paraId="5A6866A0" w14:textId="77777777" w:rsidR="00C0761B" w:rsidRPr="007B1118" w:rsidRDefault="00C0761B" w:rsidP="00C0761B">
          <w:pPr>
            <w:tabs>
              <w:tab w:val="center" w:pos="4513"/>
              <w:tab w:val="right" w:pos="9026"/>
            </w:tabs>
            <w:jc w:val="center"/>
            <w:rPr>
              <w:rFonts w:ascii="Calibri" w:eastAsia="Calibri" w:hAnsi="Calibri" w:cs="Times New Roman"/>
            </w:rPr>
          </w:pPr>
          <w:r w:rsidRPr="007B1118">
            <w:rPr>
              <w:rFonts w:ascii="Calibri" w:eastAsia="Calibri" w:hAnsi="Calibri" w:cs="Times New Roman"/>
              <w:noProof/>
            </w:rPr>
            <w:drawing>
              <wp:inline distT="0" distB="0" distL="0" distR="0" wp14:anchorId="0602949C" wp14:editId="2C0BE1AA">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7235FDC3" w14:textId="77777777" w:rsidR="00C0761B" w:rsidRPr="00C0761B" w:rsidRDefault="00C0761B" w:rsidP="00C0761B">
          <w:pPr>
            <w:tabs>
              <w:tab w:val="center" w:pos="4513"/>
              <w:tab w:val="right" w:pos="9026"/>
            </w:tabs>
            <w:rPr>
              <w:rFonts w:ascii="Calibri Light" w:eastAsia="Calibri" w:hAnsi="Calibri Light" w:cs="Calibri Light"/>
            </w:rPr>
          </w:pPr>
          <w:r w:rsidRPr="00C0761B">
            <w:rPr>
              <w:rFonts w:ascii="Calibri Light" w:eastAsia="Calibri" w:hAnsi="Calibri Light" w:cs="Calibri Light"/>
              <w:sz w:val="52"/>
              <w:szCs w:val="52"/>
            </w:rPr>
            <w:t>Application Form</w:t>
          </w:r>
        </w:p>
      </w:tc>
    </w:tr>
  </w:tbl>
  <w:p w14:paraId="55CE440E" w14:textId="30ECB9BE" w:rsidR="00A4777C" w:rsidRDefault="00C0761B">
    <w:pPr>
      <w:pStyle w:val="Body"/>
      <w:tabs>
        <w:tab w:val="center" w:pos="4513"/>
        <w:tab w:val="right" w:pos="902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A2214"/>
    <w:multiLevelType w:val="hybridMultilevel"/>
    <w:tmpl w:val="4794866A"/>
    <w:styleLink w:val="ImportedStyle1"/>
    <w:lvl w:ilvl="0" w:tplc="F6584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544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888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686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5E56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3252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CE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22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9459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E619E5"/>
    <w:multiLevelType w:val="hybridMultilevel"/>
    <w:tmpl w:val="D7846BA4"/>
    <w:numStyleLink w:val="ImportedStyle2"/>
  </w:abstractNum>
  <w:abstractNum w:abstractNumId="2" w15:restartNumberingAfterBreak="0">
    <w:nsid w:val="6506568C"/>
    <w:multiLevelType w:val="hybridMultilevel"/>
    <w:tmpl w:val="4794866A"/>
    <w:numStyleLink w:val="ImportedStyle1"/>
  </w:abstractNum>
  <w:abstractNum w:abstractNumId="3" w15:restartNumberingAfterBreak="0">
    <w:nsid w:val="7222432A"/>
    <w:multiLevelType w:val="hybridMultilevel"/>
    <w:tmpl w:val="D7846BA4"/>
    <w:styleLink w:val="ImportedStyle2"/>
    <w:lvl w:ilvl="0" w:tplc="045487E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B4A3F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F097E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9E949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42CF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EABDE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86E88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4C54C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F493F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1"/>
    <w:lvlOverride w:ilvl="0">
      <w:lvl w:ilvl="0" w:tplc="AAF638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F8D5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62E7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D454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ECDE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9E1F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3E0D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32DD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AEA5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7C"/>
    <w:rsid w:val="00A4777C"/>
    <w:rsid w:val="00C0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3AC"/>
  <w15:docId w15:val="{28F59FA4-48C8-4F3A-A183-0D90603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StaffH1">
    <w:name w:val="Staff H1"/>
    <w:pPr>
      <w:spacing w:before="120" w:after="160" w:line="259" w:lineRule="auto"/>
    </w:pPr>
    <w:rPr>
      <w:rFonts w:ascii="Open Sans" w:eastAsia="Open Sans" w:hAnsi="Open Sans" w:cs="Open Sans"/>
      <w:b/>
      <w:bCs/>
      <w:color w:val="9B0552"/>
      <w:sz w:val="44"/>
      <w:szCs w:val="44"/>
      <w:u w:color="9B0552"/>
    </w:rPr>
  </w:style>
  <w:style w:type="character" w:customStyle="1" w:styleId="Link">
    <w:name w:val="Link"/>
    <w:rPr>
      <w:outline w:val="0"/>
      <w:color w:val="0563C1"/>
      <w:u w:val="single" w:color="0563C1"/>
      <w:lang w:val="en-US"/>
    </w:r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Link"/>
    <w:rPr>
      <w:rFonts w:ascii="Calibri" w:eastAsia="Calibri" w:hAnsi="Calibri" w:cs="Calibri"/>
      <w:b/>
      <w:bCs/>
      <w:outline w:val="0"/>
      <w:color w:val="0563C1"/>
      <w:u w:val="single" w:color="0563C1"/>
      <w:lang w:val="en-US"/>
    </w:rPr>
  </w:style>
  <w:style w:type="numbering" w:customStyle="1" w:styleId="ImportedStyle2">
    <w:name w:val="Imported Style 2"/>
    <w:pPr>
      <w:numPr>
        <w:numId w:val="3"/>
      </w:numPr>
    </w:pPr>
  </w:style>
  <w:style w:type="paragraph" w:customStyle="1" w:styleId="TableParagraph">
    <w:name w:val="Table Paragraph"/>
    <w:pPr>
      <w:widowControl w:val="0"/>
      <w:ind w:left="103" w:right="1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C0761B"/>
    <w:pPr>
      <w:tabs>
        <w:tab w:val="center" w:pos="4680"/>
        <w:tab w:val="right" w:pos="9360"/>
      </w:tabs>
    </w:pPr>
  </w:style>
  <w:style w:type="character" w:customStyle="1" w:styleId="HeaderChar">
    <w:name w:val="Header Char"/>
    <w:basedOn w:val="DefaultParagraphFont"/>
    <w:link w:val="Header"/>
    <w:uiPriority w:val="99"/>
    <w:rsid w:val="00C0761B"/>
    <w:rPr>
      <w:sz w:val="24"/>
      <w:szCs w:val="24"/>
    </w:rPr>
  </w:style>
  <w:style w:type="table" w:styleId="TableGrid">
    <w:name w:val="Table Grid"/>
    <w:basedOn w:val="TableNormal"/>
    <w:uiPriority w:val="39"/>
    <w:rsid w:val="00C0761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q.org.au/wp-content/uploads/2015/12/Consumer-Remuneration-Rates-Dec-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Wirges</dc:creator>
  <cp:lastModifiedBy>Suzanne Wirges</cp:lastModifiedBy>
  <cp:revision>2</cp:revision>
  <dcterms:created xsi:type="dcterms:W3CDTF">2019-09-10T22:23:00Z</dcterms:created>
  <dcterms:modified xsi:type="dcterms:W3CDTF">2019-09-10T22:23:00Z</dcterms:modified>
</cp:coreProperties>
</file>