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9D2D1" w14:textId="2EFC18EF" w:rsidR="00CF307C" w:rsidRPr="00CF307C" w:rsidRDefault="00AD5F28" w:rsidP="00CF307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 xml:space="preserve">Application </w:t>
      </w:r>
      <w:r w:rsidR="00CF307C">
        <w:rPr>
          <w:sz w:val="36"/>
        </w:rPr>
        <w:t xml:space="preserve">for </w:t>
      </w:r>
      <w:r w:rsidR="00CF307C" w:rsidRPr="00CF307C">
        <w:rPr>
          <w:sz w:val="36"/>
        </w:rPr>
        <w:t>C</w:t>
      </w:r>
      <w:r w:rsidR="004C741B">
        <w:rPr>
          <w:sz w:val="36"/>
        </w:rPr>
        <w:t>onsumer R</w:t>
      </w:r>
      <w:r w:rsidR="003C6046">
        <w:rPr>
          <w:sz w:val="36"/>
        </w:rPr>
        <w:t xml:space="preserve">epresentatives </w:t>
      </w:r>
    </w:p>
    <w:p w14:paraId="770990F6" w14:textId="1D161266" w:rsidR="007A67B5" w:rsidRDefault="008071B6" w:rsidP="007A67B5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Clinical Incident Re</w:t>
      </w:r>
      <w:r w:rsidR="00AC346A">
        <w:rPr>
          <w:sz w:val="36"/>
        </w:rPr>
        <w:t>form</w:t>
      </w:r>
      <w:r>
        <w:rPr>
          <w:sz w:val="36"/>
        </w:rPr>
        <w:t xml:space="preserve"> Group Project</w:t>
      </w:r>
    </w:p>
    <w:p w14:paraId="450B2314" w14:textId="6D01AEBB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F3E1B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44581D">
        <w:rPr>
          <w:rFonts w:asciiTheme="minorHAnsi" w:hAnsiTheme="minorHAnsi" w:cstheme="minorHAnsi"/>
          <w:color w:val="auto"/>
          <w:sz w:val="22"/>
        </w:rPr>
        <w:t xml:space="preserve">5pm </w:t>
      </w:r>
      <w:r w:rsidR="005F3E1B" w:rsidRPr="005F3E1B">
        <w:rPr>
          <w:rFonts w:asciiTheme="minorHAnsi" w:hAnsiTheme="minorHAnsi" w:cstheme="minorHAnsi"/>
          <w:color w:val="auto"/>
          <w:sz w:val="22"/>
        </w:rPr>
        <w:t>Thursday 26</w:t>
      </w:r>
      <w:r w:rsidR="005F3E1B" w:rsidRPr="005F3E1B">
        <w:rPr>
          <w:rFonts w:asciiTheme="minorHAnsi" w:hAnsiTheme="minorHAnsi" w:cstheme="minorHAnsi"/>
          <w:color w:val="auto"/>
          <w:sz w:val="22"/>
          <w:vertAlign w:val="superscript"/>
        </w:rPr>
        <w:t>th</w:t>
      </w:r>
      <w:r w:rsidR="005F3E1B" w:rsidRPr="005F3E1B">
        <w:rPr>
          <w:rFonts w:asciiTheme="minorHAnsi" w:hAnsiTheme="minorHAnsi" w:cstheme="minorHAnsi"/>
          <w:color w:val="auto"/>
          <w:sz w:val="22"/>
        </w:rPr>
        <w:t xml:space="preserve"> March </w:t>
      </w:r>
      <w:r w:rsidR="005F3E1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574D9DE4" w14:textId="77777777" w:rsidR="007A67B5" w:rsidRPr="007E467E" w:rsidRDefault="008071B6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>
        <w:rPr>
          <w:rStyle w:val="Hyperlink"/>
          <w:bCs/>
          <w:color w:val="9B1D54"/>
          <w:sz w:val="28"/>
          <w:szCs w:val="28"/>
          <w:u w:val="none"/>
        </w:rPr>
        <w:t xml:space="preserve">Patient Safety </w:t>
      </w:r>
      <w:r w:rsidRPr="007E467E">
        <w:rPr>
          <w:rStyle w:val="Hyperlink"/>
          <w:bCs/>
          <w:color w:val="9B1D54"/>
          <w:sz w:val="28"/>
          <w:szCs w:val="28"/>
          <w:u w:val="none"/>
        </w:rPr>
        <w:t>and Quality Improvement Service (PSQIS)</w:t>
      </w:r>
      <w:r w:rsidR="00162658" w:rsidRPr="007E467E">
        <w:rPr>
          <w:rStyle w:val="Hyperlink"/>
          <w:bCs/>
          <w:color w:val="9B1D54"/>
          <w:sz w:val="28"/>
          <w:szCs w:val="28"/>
          <w:u w:val="none"/>
        </w:rPr>
        <w:t>,</w:t>
      </w:r>
      <w:r w:rsidRPr="007E467E">
        <w:rPr>
          <w:rStyle w:val="Hyperlink"/>
          <w:bCs/>
          <w:color w:val="9B1D54"/>
          <w:sz w:val="28"/>
          <w:szCs w:val="28"/>
          <w:u w:val="none"/>
        </w:rPr>
        <w:t xml:space="preserve"> Clinical Excellence Queensland, </w:t>
      </w:r>
      <w:r w:rsidR="007A67B5" w:rsidRPr="007E467E">
        <w:rPr>
          <w:rStyle w:val="Hyperlink"/>
          <w:bCs/>
          <w:color w:val="9B1D54"/>
          <w:sz w:val="28"/>
          <w:szCs w:val="28"/>
          <w:u w:val="none"/>
        </w:rPr>
        <w:t>Department of Health</w:t>
      </w:r>
    </w:p>
    <w:p w14:paraId="5F2A60B5" w14:textId="0DA4DA94" w:rsidR="00B70BDC" w:rsidRDefault="00162658" w:rsidP="0011708E">
      <w:pPr>
        <w:ind w:right="-755"/>
        <w:rPr>
          <w:b/>
        </w:rPr>
      </w:pPr>
      <w:bookmarkStart w:id="0" w:name="_Hlk32993860"/>
      <w:r w:rsidRPr="007E467E">
        <w:rPr>
          <w:b/>
        </w:rPr>
        <w:t xml:space="preserve">The Patient Safety and Quality Improvement Service </w:t>
      </w:r>
      <w:bookmarkEnd w:id="0"/>
      <w:r w:rsidRPr="007E467E">
        <w:rPr>
          <w:b/>
        </w:rPr>
        <w:t xml:space="preserve">is </w:t>
      </w:r>
      <w:r w:rsidR="00B70BDC">
        <w:rPr>
          <w:b/>
        </w:rPr>
        <w:t xml:space="preserve">seeking </w:t>
      </w:r>
      <w:r w:rsidR="00AC346A" w:rsidRPr="007E467E">
        <w:rPr>
          <w:b/>
        </w:rPr>
        <w:t>t</w:t>
      </w:r>
      <w:r w:rsidR="006D55D3" w:rsidRPr="007E467E">
        <w:rPr>
          <w:b/>
        </w:rPr>
        <w:t>hree (3)</w:t>
      </w:r>
      <w:r w:rsidR="00916225" w:rsidRPr="007E467E">
        <w:rPr>
          <w:b/>
        </w:rPr>
        <w:t xml:space="preserve"> </w:t>
      </w:r>
      <w:r w:rsidRPr="007E467E">
        <w:rPr>
          <w:b/>
        </w:rPr>
        <w:t>health consumer representative</w:t>
      </w:r>
      <w:r w:rsidR="00AC346A" w:rsidRPr="007E467E">
        <w:rPr>
          <w:b/>
        </w:rPr>
        <w:t>s for the Clinical Incident Reform Group project</w:t>
      </w:r>
      <w:r w:rsidR="00E02DA4" w:rsidRPr="007E467E">
        <w:rPr>
          <w:b/>
        </w:rPr>
        <w:t xml:space="preserve">. </w:t>
      </w:r>
    </w:p>
    <w:p w14:paraId="57AF15AF" w14:textId="7E421538" w:rsidR="00162658" w:rsidRPr="007E467E" w:rsidRDefault="00E02DA4" w:rsidP="0011708E">
      <w:pPr>
        <w:ind w:right="-755"/>
      </w:pPr>
      <w:r w:rsidRPr="007E467E">
        <w:rPr>
          <w:b/>
        </w:rPr>
        <w:t>This is</w:t>
      </w:r>
      <w:r w:rsidR="00162658" w:rsidRPr="007E467E">
        <w:rPr>
          <w:b/>
        </w:rPr>
        <w:t xml:space="preserve"> a unique opportunity </w:t>
      </w:r>
      <w:r w:rsidR="00AC346A" w:rsidRPr="007E467E">
        <w:rPr>
          <w:b/>
        </w:rPr>
        <w:t>for one</w:t>
      </w:r>
      <w:r w:rsidR="00B70BDC">
        <w:rPr>
          <w:b/>
        </w:rPr>
        <w:t xml:space="preserve"> (1)</w:t>
      </w:r>
      <w:r w:rsidR="00AC346A" w:rsidRPr="007E467E">
        <w:rPr>
          <w:b/>
        </w:rPr>
        <w:t xml:space="preserve"> consumer to</w:t>
      </w:r>
      <w:r w:rsidR="00162658" w:rsidRPr="007E467E">
        <w:rPr>
          <w:b/>
        </w:rPr>
        <w:t xml:space="preserve"> participate on the Clinical Incident </w:t>
      </w:r>
      <w:r w:rsidR="00AC346A" w:rsidRPr="007E467E">
        <w:rPr>
          <w:b/>
        </w:rPr>
        <w:t>Reform</w:t>
      </w:r>
      <w:r w:rsidR="00162658" w:rsidRPr="007E467E">
        <w:rPr>
          <w:b/>
        </w:rPr>
        <w:t xml:space="preserve"> Group (CIRG)</w:t>
      </w:r>
      <w:r w:rsidR="00AC346A" w:rsidRPr="007E467E">
        <w:rPr>
          <w:b/>
        </w:rPr>
        <w:t xml:space="preserve"> committee</w:t>
      </w:r>
      <w:r w:rsidR="00162658" w:rsidRPr="007E467E">
        <w:rPr>
          <w:b/>
        </w:rPr>
        <w:t xml:space="preserve"> for the review of clinical incident management in Queensland</w:t>
      </w:r>
      <w:r w:rsidR="00B70BDC">
        <w:rPr>
          <w:b/>
        </w:rPr>
        <w:t xml:space="preserve"> and t</w:t>
      </w:r>
      <w:r w:rsidR="00AC346A" w:rsidRPr="007E467E">
        <w:rPr>
          <w:b/>
        </w:rPr>
        <w:t xml:space="preserve">wo (2) consumers to review </w:t>
      </w:r>
      <w:r w:rsidR="00826BE5" w:rsidRPr="007E467E">
        <w:rPr>
          <w:b/>
        </w:rPr>
        <w:t xml:space="preserve">educational </w:t>
      </w:r>
      <w:r w:rsidR="00AC346A" w:rsidRPr="007E467E">
        <w:rPr>
          <w:b/>
        </w:rPr>
        <w:t>resources and tools that are being developed</w:t>
      </w:r>
      <w:r w:rsidR="00162658" w:rsidRPr="007E467E">
        <w:t xml:space="preserve">.  </w:t>
      </w:r>
    </w:p>
    <w:p w14:paraId="72DFBCF4" w14:textId="77777777" w:rsidR="00162658" w:rsidRPr="007E467E" w:rsidRDefault="00162658" w:rsidP="0011708E">
      <w:pPr>
        <w:ind w:right="-755"/>
        <w:rPr>
          <w:b/>
        </w:rPr>
      </w:pPr>
      <w:r w:rsidRPr="007E467E">
        <w:rPr>
          <w:b/>
        </w:rPr>
        <w:t>The Patient Safety and Quality Improvement Service is responsible for the monitoring and support</w:t>
      </w:r>
      <w:r w:rsidR="00E02DA4" w:rsidRPr="007E467E">
        <w:rPr>
          <w:b/>
        </w:rPr>
        <w:t xml:space="preserve"> of</w:t>
      </w:r>
      <w:r w:rsidRPr="007E467E">
        <w:rPr>
          <w:b/>
        </w:rPr>
        <w:t xml:space="preserve"> Hospital and Health Services to minimise harm, reduce unwarranted variation in healthcare and to achieve high-quality patient care. </w:t>
      </w:r>
    </w:p>
    <w:p w14:paraId="0C60C971" w14:textId="77777777" w:rsidR="0011708E" w:rsidRPr="007E467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E467E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781C9DA2" w14:textId="77777777" w:rsidR="001130AC" w:rsidRPr="007E467E" w:rsidRDefault="0056614C" w:rsidP="0011708E">
      <w:pPr>
        <w:ind w:right="-755"/>
      </w:pPr>
      <w:r w:rsidRPr="007E467E">
        <w:t>The purpose of the Clinical Incident Reform Group</w:t>
      </w:r>
      <w:r w:rsidR="001130AC" w:rsidRPr="007E467E">
        <w:t xml:space="preserve"> (CIRG)</w:t>
      </w:r>
      <w:r w:rsidRPr="007E467E">
        <w:t xml:space="preserve"> is to </w:t>
      </w:r>
      <w:bookmarkStart w:id="1" w:name="_Hlk33602908"/>
      <w:r w:rsidRPr="007E467E">
        <w:t xml:space="preserve">review </w:t>
      </w:r>
      <w:r w:rsidR="00A94B40" w:rsidRPr="007E467E">
        <w:t xml:space="preserve">the </w:t>
      </w:r>
      <w:r w:rsidRPr="007E467E">
        <w:t>current practice</w:t>
      </w:r>
      <w:r w:rsidR="00A94B40" w:rsidRPr="007E467E">
        <w:t>s</w:t>
      </w:r>
      <w:r w:rsidR="001130AC" w:rsidRPr="007E467E">
        <w:t xml:space="preserve"> related to </w:t>
      </w:r>
      <w:r w:rsidR="00D75652" w:rsidRPr="007E467E">
        <w:t xml:space="preserve">incident </w:t>
      </w:r>
      <w:r w:rsidR="00E02DA4" w:rsidRPr="007E467E">
        <w:t>data management,</w:t>
      </w:r>
      <w:r w:rsidR="00D75652" w:rsidRPr="007E467E">
        <w:t xml:space="preserve"> </w:t>
      </w:r>
      <w:r w:rsidR="001130AC" w:rsidRPr="007E467E">
        <w:t xml:space="preserve">resources and approaches used in Clinical Incident Management (CIM) </w:t>
      </w:r>
      <w:bookmarkEnd w:id="1"/>
      <w:r w:rsidR="001130AC" w:rsidRPr="007E467E">
        <w:t>including:</w:t>
      </w:r>
    </w:p>
    <w:p w14:paraId="7CD848C8" w14:textId="77777777" w:rsidR="001130AC" w:rsidRPr="007E467E" w:rsidRDefault="001130AC" w:rsidP="001130AC">
      <w:pPr>
        <w:pStyle w:val="ListParagraph"/>
        <w:numPr>
          <w:ilvl w:val="0"/>
          <w:numId w:val="9"/>
        </w:numPr>
        <w:ind w:right="-755"/>
      </w:pPr>
      <w:r w:rsidRPr="007E467E">
        <w:t>the assessment of the electronic information incident management system</w:t>
      </w:r>
    </w:p>
    <w:p w14:paraId="106D2775" w14:textId="77777777" w:rsidR="001130AC" w:rsidRPr="007E467E" w:rsidRDefault="001130AC" w:rsidP="001130AC">
      <w:pPr>
        <w:pStyle w:val="ListParagraph"/>
        <w:numPr>
          <w:ilvl w:val="0"/>
          <w:numId w:val="9"/>
        </w:numPr>
        <w:ind w:right="-755"/>
      </w:pPr>
      <w:r w:rsidRPr="007E467E">
        <w:t xml:space="preserve">research into the types of methodologies utilised for clinical incident analysis and possible alternatives, and </w:t>
      </w:r>
    </w:p>
    <w:p w14:paraId="468F5E4A" w14:textId="77777777" w:rsidR="0056614C" w:rsidRPr="007E467E" w:rsidRDefault="001130AC" w:rsidP="001130AC">
      <w:pPr>
        <w:pStyle w:val="ListParagraph"/>
        <w:numPr>
          <w:ilvl w:val="0"/>
          <w:numId w:val="9"/>
        </w:numPr>
        <w:ind w:right="-755"/>
      </w:pPr>
      <w:r w:rsidRPr="007E467E">
        <w:t>the identification of improvements in respect to CIM tools/resources</w:t>
      </w:r>
      <w:r w:rsidR="00E02DA4" w:rsidRPr="007E467E">
        <w:t>/training</w:t>
      </w:r>
      <w:r w:rsidRPr="007E467E">
        <w:t xml:space="preserve"> </w:t>
      </w:r>
      <w:r w:rsidR="0056614C" w:rsidRPr="007E467E">
        <w:t>t</w:t>
      </w:r>
      <w:r w:rsidRPr="007E467E">
        <w:t>hat may</w:t>
      </w:r>
      <w:r w:rsidR="0056614C" w:rsidRPr="007E467E">
        <w:t xml:space="preserve"> </w:t>
      </w:r>
      <w:r w:rsidRPr="007E467E">
        <w:t xml:space="preserve">enhance </w:t>
      </w:r>
      <w:r w:rsidR="0056614C" w:rsidRPr="007E467E">
        <w:t xml:space="preserve">the </w:t>
      </w:r>
      <w:r w:rsidRPr="007E467E">
        <w:t>deployment of</w:t>
      </w:r>
      <w:r w:rsidR="0056614C" w:rsidRPr="007E467E">
        <w:t xml:space="preserve"> clinical incident management in Queensland</w:t>
      </w:r>
      <w:r w:rsidRPr="007E467E">
        <w:t xml:space="preserve"> Health</w:t>
      </w:r>
    </w:p>
    <w:p w14:paraId="05210BDC" w14:textId="77777777" w:rsidR="001130AC" w:rsidRPr="007E467E" w:rsidRDefault="001130AC" w:rsidP="001130AC">
      <w:pPr>
        <w:pStyle w:val="ListParagraph"/>
        <w:ind w:left="765" w:right="-755"/>
      </w:pPr>
    </w:p>
    <w:p w14:paraId="5FD0BBA1" w14:textId="77777777" w:rsidR="00A94B40" w:rsidRPr="007E467E" w:rsidRDefault="00A94B40" w:rsidP="00A94B40">
      <w:pPr>
        <w:ind w:right="-755"/>
        <w:rPr>
          <w:b/>
        </w:rPr>
      </w:pPr>
      <w:r w:rsidRPr="007E467E">
        <w:rPr>
          <w:b/>
        </w:rPr>
        <w:t>Committee authority</w:t>
      </w:r>
      <w:r w:rsidR="002940EC" w:rsidRPr="007E467E">
        <w:rPr>
          <w:b/>
        </w:rPr>
        <w:t>:</w:t>
      </w:r>
    </w:p>
    <w:p w14:paraId="65BAFEFB" w14:textId="482C86E5" w:rsidR="00A94B40" w:rsidRPr="007E467E" w:rsidRDefault="00A94B40" w:rsidP="00A94B4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E467E">
        <w:rPr>
          <w:rFonts w:asciiTheme="minorHAnsi" w:hAnsiTheme="minorHAnsi" w:cstheme="minorHAnsi"/>
          <w:sz w:val="22"/>
          <w:szCs w:val="22"/>
        </w:rPr>
        <w:t>The CIRG functions under the authority of</w:t>
      </w:r>
      <w:r w:rsidR="00E02DA4" w:rsidRPr="007E467E">
        <w:rPr>
          <w:rFonts w:asciiTheme="minorHAnsi" w:hAnsiTheme="minorHAnsi" w:cstheme="minorHAnsi"/>
          <w:sz w:val="22"/>
          <w:szCs w:val="22"/>
        </w:rPr>
        <w:t xml:space="preserve"> the</w:t>
      </w:r>
      <w:r w:rsidRPr="007E467E">
        <w:rPr>
          <w:rFonts w:asciiTheme="minorHAnsi" w:hAnsiTheme="minorHAnsi" w:cstheme="minorHAnsi"/>
          <w:sz w:val="22"/>
          <w:szCs w:val="22"/>
        </w:rPr>
        <w:t xml:space="preserve"> Directors of Clinical Governance Improvement and Implementation Partnership (DCGIIP) and Clinical Excellence Queensland (CEQ</w:t>
      </w:r>
      <w:r w:rsidRPr="00FB7821">
        <w:rPr>
          <w:rFonts w:asciiTheme="minorHAnsi" w:hAnsiTheme="minorHAnsi" w:cstheme="minorHAnsi"/>
          <w:sz w:val="22"/>
          <w:szCs w:val="22"/>
        </w:rPr>
        <w:t xml:space="preserve">).  With respect to decision making, the CIRG will make recommendations to the Chair of DCGIIP and the </w:t>
      </w:r>
      <w:r w:rsidR="00091CD5" w:rsidRPr="00FB7821">
        <w:rPr>
          <w:rFonts w:asciiTheme="minorHAnsi" w:hAnsiTheme="minorHAnsi" w:cstheme="minorHAnsi"/>
          <w:sz w:val="22"/>
          <w:szCs w:val="22"/>
        </w:rPr>
        <w:t>Executive Director Patient Safety and Quality Improvement Service</w:t>
      </w:r>
      <w:r w:rsidRPr="00FB7821">
        <w:rPr>
          <w:rFonts w:asciiTheme="minorHAnsi" w:hAnsiTheme="minorHAnsi" w:cstheme="minorHAnsi"/>
          <w:sz w:val="22"/>
          <w:szCs w:val="22"/>
        </w:rPr>
        <w:t xml:space="preserve">, CEQ. </w:t>
      </w:r>
      <w:r w:rsidR="002940EC" w:rsidRPr="00FB7821">
        <w:rPr>
          <w:rFonts w:asciiTheme="minorHAnsi" w:hAnsiTheme="minorHAnsi" w:cstheme="minorHAnsi"/>
          <w:sz w:val="22"/>
          <w:szCs w:val="22"/>
        </w:rPr>
        <w:t>The Terms of Reference are available</w:t>
      </w:r>
      <w:r w:rsidR="002940EC" w:rsidRPr="007E467E">
        <w:rPr>
          <w:rFonts w:asciiTheme="minorHAnsi" w:hAnsiTheme="minorHAnsi" w:cstheme="minorHAnsi"/>
          <w:sz w:val="22"/>
          <w:szCs w:val="22"/>
        </w:rPr>
        <w:t xml:space="preserve"> on request.</w:t>
      </w:r>
    </w:p>
    <w:p w14:paraId="51D4C7D0" w14:textId="77777777" w:rsidR="00A94B40" w:rsidRPr="007E467E" w:rsidRDefault="00A94B40" w:rsidP="00A94B40">
      <w:pPr>
        <w:ind w:right="-755"/>
        <w:rPr>
          <w:b/>
        </w:rPr>
      </w:pPr>
    </w:p>
    <w:p w14:paraId="6B024E3A" w14:textId="77777777" w:rsidR="00A94B40" w:rsidRPr="007E467E" w:rsidRDefault="00A94B40" w:rsidP="00A94B40">
      <w:pPr>
        <w:ind w:right="-755"/>
        <w:rPr>
          <w:b/>
        </w:rPr>
      </w:pPr>
      <w:r w:rsidRPr="007E467E">
        <w:rPr>
          <w:b/>
        </w:rPr>
        <w:t>Membership</w:t>
      </w:r>
      <w:r w:rsidR="002940EC" w:rsidRPr="007E467E">
        <w:rPr>
          <w:b/>
        </w:rPr>
        <w:t>:</w:t>
      </w:r>
    </w:p>
    <w:p w14:paraId="527FF4D7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Executive Director, PSQIS</w:t>
      </w:r>
    </w:p>
    <w:p w14:paraId="11E0B9FE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Executive Director, Clinical Governance HHS</w:t>
      </w:r>
    </w:p>
    <w:p w14:paraId="754C0F99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Directors of Clinical Governance Improvement and Implementation Partnership</w:t>
      </w:r>
      <w:r w:rsidR="002940EC" w:rsidRPr="007E467E">
        <w:t xml:space="preserve"> (DCGIIP)</w:t>
      </w:r>
      <w:r w:rsidRPr="007E467E">
        <w:t xml:space="preserve"> representative </w:t>
      </w:r>
    </w:p>
    <w:p w14:paraId="01FF67FB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Executive Director Medical Services</w:t>
      </w:r>
    </w:p>
    <w:p w14:paraId="3E44C45A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Executive Director Nursing and Midwifery Services</w:t>
      </w:r>
    </w:p>
    <w:p w14:paraId="6F2D8510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PSQIS representative</w:t>
      </w:r>
    </w:p>
    <w:p w14:paraId="4056BBE3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lastRenderedPageBreak/>
        <w:t>Consumer representative</w:t>
      </w:r>
    </w:p>
    <w:p w14:paraId="5A72BDB8" w14:textId="77777777" w:rsidR="00A94B40" w:rsidRPr="007E467E" w:rsidRDefault="00A94B40" w:rsidP="00A94B40">
      <w:pPr>
        <w:pStyle w:val="ListParagraph"/>
        <w:numPr>
          <w:ilvl w:val="0"/>
          <w:numId w:val="8"/>
        </w:numPr>
        <w:ind w:right="-755"/>
      </w:pPr>
      <w:r w:rsidRPr="007E467E">
        <w:t>Principal Project Officer – Project Support</w:t>
      </w:r>
    </w:p>
    <w:p w14:paraId="35864BDC" w14:textId="77777777" w:rsidR="0011708E" w:rsidRPr="007E467E" w:rsidRDefault="0056614C" w:rsidP="0011708E">
      <w:pPr>
        <w:ind w:right="-755"/>
        <w:rPr>
          <w:b/>
        </w:rPr>
      </w:pPr>
      <w:r w:rsidRPr="007E467E">
        <w:rPr>
          <w:b/>
        </w:rPr>
        <w:t>The three key areas of work</w:t>
      </w:r>
      <w:r w:rsidR="00E02DA4" w:rsidRPr="007E467E">
        <w:rPr>
          <w:b/>
        </w:rPr>
        <w:t xml:space="preserve"> include</w:t>
      </w:r>
      <w:r w:rsidR="002940EC" w:rsidRPr="007E467E">
        <w:rPr>
          <w:b/>
        </w:rPr>
        <w:t>:</w:t>
      </w:r>
    </w:p>
    <w:p w14:paraId="7C190405" w14:textId="77777777" w:rsidR="00E02DA4" w:rsidRPr="007E467E" w:rsidRDefault="00E02DA4" w:rsidP="00E02DA4">
      <w:pPr>
        <w:pStyle w:val="ListParagraph"/>
        <w:numPr>
          <w:ilvl w:val="0"/>
          <w:numId w:val="7"/>
        </w:numPr>
        <w:ind w:right="-755"/>
      </w:pPr>
      <w:r w:rsidRPr="007E467E">
        <w:t>Review of the entering of data in RiskMan for SAC3 and SAC4 incidents for more efficiencies</w:t>
      </w:r>
    </w:p>
    <w:p w14:paraId="66BC307F" w14:textId="2C3BA9CD" w:rsidR="00C86A2E" w:rsidRPr="007E467E" w:rsidRDefault="0056614C" w:rsidP="00E02DA4">
      <w:pPr>
        <w:pStyle w:val="ListParagraph"/>
        <w:numPr>
          <w:ilvl w:val="0"/>
          <w:numId w:val="7"/>
        </w:numPr>
        <w:ind w:right="-755"/>
      </w:pPr>
      <w:r w:rsidRPr="007E467E">
        <w:t xml:space="preserve">Development and implement an </w:t>
      </w:r>
      <w:r w:rsidR="00826BE5" w:rsidRPr="007E467E">
        <w:t>alternative methodology/methodologies</w:t>
      </w:r>
      <w:r w:rsidR="00C86A2E" w:rsidRPr="007E467E">
        <w:t>, based on current evidence,</w:t>
      </w:r>
      <w:r w:rsidRPr="007E467E">
        <w:t xml:space="preserve"> to investigate and </w:t>
      </w:r>
      <w:r w:rsidR="00FF20C6" w:rsidRPr="007E467E">
        <w:t>analyse</w:t>
      </w:r>
      <w:r w:rsidRPr="007E467E">
        <w:t xml:space="preserve"> </w:t>
      </w:r>
      <w:r w:rsidR="00A94B40" w:rsidRPr="007E467E">
        <w:t>clinical incidents</w:t>
      </w:r>
      <w:r w:rsidR="00E02DA4" w:rsidRPr="007E467E">
        <w:t>,</w:t>
      </w:r>
      <w:r w:rsidRPr="007E467E">
        <w:t xml:space="preserve"> inclusive of a quality improvement approach</w:t>
      </w:r>
    </w:p>
    <w:p w14:paraId="5C9D5B91" w14:textId="77777777" w:rsidR="0056614C" w:rsidRPr="007E467E" w:rsidRDefault="0056614C" w:rsidP="0056614C">
      <w:pPr>
        <w:pStyle w:val="ListParagraph"/>
        <w:numPr>
          <w:ilvl w:val="0"/>
          <w:numId w:val="7"/>
        </w:numPr>
        <w:ind w:right="-755"/>
      </w:pPr>
      <w:r w:rsidRPr="007E467E">
        <w:t>The review and development of educational resources and tools for clinical incident management</w:t>
      </w:r>
    </w:p>
    <w:p w14:paraId="1BCEA4F1" w14:textId="77777777" w:rsidR="002940EC" w:rsidRPr="007E467E" w:rsidRDefault="002940EC" w:rsidP="0011708E">
      <w:pPr>
        <w:ind w:right="-755"/>
        <w:rPr>
          <w:b/>
        </w:rPr>
      </w:pPr>
    </w:p>
    <w:p w14:paraId="619A6E2B" w14:textId="141E7B50" w:rsidR="007A67B5" w:rsidRPr="0044581D" w:rsidRDefault="00292A06" w:rsidP="0044581D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44581D">
        <w:rPr>
          <w:rStyle w:val="Hyperlink"/>
          <w:bCs/>
          <w:color w:val="9B1D54"/>
          <w:sz w:val="28"/>
          <w:szCs w:val="28"/>
          <w:u w:val="none"/>
        </w:rPr>
        <w:t>R</w:t>
      </w:r>
      <w:r w:rsidR="00336446" w:rsidRPr="0044581D">
        <w:rPr>
          <w:rStyle w:val="Hyperlink"/>
          <w:bCs/>
          <w:color w:val="9B1D54"/>
          <w:sz w:val="28"/>
          <w:szCs w:val="28"/>
          <w:u w:val="none"/>
        </w:rPr>
        <w:t>ole</w:t>
      </w:r>
      <w:r w:rsidRPr="0044581D">
        <w:rPr>
          <w:rStyle w:val="Hyperlink"/>
          <w:bCs/>
          <w:color w:val="9B1D54"/>
          <w:sz w:val="28"/>
          <w:szCs w:val="28"/>
          <w:u w:val="none"/>
        </w:rPr>
        <w:t xml:space="preserve"> of</w:t>
      </w:r>
      <w:r w:rsidR="007A67B5" w:rsidRPr="0044581D">
        <w:rPr>
          <w:rStyle w:val="Hyperlink"/>
          <w:bCs/>
          <w:color w:val="9B1D54"/>
          <w:sz w:val="28"/>
          <w:szCs w:val="28"/>
          <w:u w:val="none"/>
        </w:rPr>
        <w:t xml:space="preserve"> consumer</w:t>
      </w:r>
      <w:r w:rsidRPr="0044581D">
        <w:rPr>
          <w:rStyle w:val="Hyperlink"/>
          <w:bCs/>
          <w:color w:val="9B1D54"/>
          <w:sz w:val="28"/>
          <w:szCs w:val="28"/>
          <w:u w:val="none"/>
        </w:rPr>
        <w:t xml:space="preserve"> 1</w:t>
      </w:r>
      <w:r w:rsidR="0044581D" w:rsidRPr="00B07093">
        <w:rPr>
          <w:color w:val="9B1D54"/>
          <w:sz w:val="28"/>
          <w:szCs w:val="28"/>
        </w:rPr>
        <w:t xml:space="preserve"> (</w:t>
      </w:r>
      <w:r w:rsidR="0044581D" w:rsidRPr="0044581D">
        <w:rPr>
          <w:rStyle w:val="Hyperlink"/>
          <w:bCs/>
          <w:color w:val="9B1D54"/>
          <w:sz w:val="28"/>
          <w:szCs w:val="28"/>
          <w:u w:val="none"/>
        </w:rPr>
        <w:t>participate on the Clinical Incident Reform Group (CIRG) committee)</w:t>
      </w:r>
    </w:p>
    <w:p w14:paraId="056B8109" w14:textId="7ADC78DD" w:rsidR="00FF20C6" w:rsidRPr="007E467E" w:rsidRDefault="00FF20C6" w:rsidP="00E02DA4">
      <w:pPr>
        <w:pStyle w:val="ListParagraph"/>
        <w:numPr>
          <w:ilvl w:val="0"/>
          <w:numId w:val="10"/>
        </w:numPr>
        <w:ind w:right="-755"/>
      </w:pPr>
      <w:r w:rsidRPr="007E467E">
        <w:t>The attendance of</w:t>
      </w:r>
      <w:r w:rsidR="007A67B5" w:rsidRPr="007E467E">
        <w:t xml:space="preserve"> all </w:t>
      </w:r>
      <w:r w:rsidRPr="007E467E">
        <w:t xml:space="preserve">CIRG </w:t>
      </w:r>
      <w:r w:rsidR="007A67B5" w:rsidRPr="007E467E">
        <w:t>Committee meetings and active participat</w:t>
      </w:r>
      <w:r w:rsidRPr="007E467E">
        <w:t>ion</w:t>
      </w:r>
      <w:r w:rsidR="007A67B5" w:rsidRPr="007E467E">
        <w:t xml:space="preserve"> in all Committee activities such as pre-meeting reading</w:t>
      </w:r>
      <w:r w:rsidRPr="007E467E">
        <w:t xml:space="preserve">, </w:t>
      </w:r>
      <w:r w:rsidR="007A67B5" w:rsidRPr="007E467E">
        <w:t>discussions</w:t>
      </w:r>
      <w:r w:rsidRPr="007E467E">
        <w:t xml:space="preserve"> and decision making</w:t>
      </w:r>
    </w:p>
    <w:p w14:paraId="0841E58E" w14:textId="77777777" w:rsidR="00FF20C6" w:rsidRPr="007E467E" w:rsidRDefault="007A67B5" w:rsidP="00E02DA4">
      <w:pPr>
        <w:pStyle w:val="ListParagraph"/>
        <w:numPr>
          <w:ilvl w:val="0"/>
          <w:numId w:val="10"/>
        </w:numPr>
        <w:ind w:right="-755"/>
      </w:pPr>
      <w:r w:rsidRPr="007E467E">
        <w:t xml:space="preserve"> </w:t>
      </w:r>
      <w:r w:rsidR="00FF20C6" w:rsidRPr="007E467E">
        <w:t xml:space="preserve">The </w:t>
      </w:r>
      <w:r w:rsidR="002940EC" w:rsidRPr="007E467E">
        <w:t>review</w:t>
      </w:r>
      <w:r w:rsidR="005855AC" w:rsidRPr="007E467E">
        <w:t>, apprais</w:t>
      </w:r>
      <w:r w:rsidR="00FF20C6" w:rsidRPr="007E467E">
        <w:t>al and</w:t>
      </w:r>
      <w:r w:rsidR="005855AC" w:rsidRPr="007E467E">
        <w:t xml:space="preserve"> evaluation</w:t>
      </w:r>
      <w:r w:rsidR="002940EC" w:rsidRPr="007E467E">
        <w:t xml:space="preserve"> of </w:t>
      </w:r>
      <w:r w:rsidR="00FF20C6" w:rsidRPr="007E467E">
        <w:t xml:space="preserve">relevant CIM </w:t>
      </w:r>
      <w:r w:rsidR="002940EC" w:rsidRPr="007E467E">
        <w:t>documents</w:t>
      </w:r>
      <w:r w:rsidR="00FF20C6" w:rsidRPr="007E467E">
        <w:t xml:space="preserve"> to</w:t>
      </w:r>
      <w:r w:rsidR="002940EC" w:rsidRPr="007E467E">
        <w:t xml:space="preserve"> provide feedback</w:t>
      </w:r>
      <w:r w:rsidR="005855AC" w:rsidRPr="007E467E">
        <w:t xml:space="preserve"> (verbal and written)</w:t>
      </w:r>
    </w:p>
    <w:p w14:paraId="63101D4D" w14:textId="3F9CE321" w:rsidR="007A67B5" w:rsidRPr="007E467E" w:rsidRDefault="00FF20C6" w:rsidP="00E02DA4">
      <w:pPr>
        <w:pStyle w:val="ListParagraph"/>
        <w:numPr>
          <w:ilvl w:val="0"/>
          <w:numId w:val="10"/>
        </w:numPr>
        <w:ind w:right="-755"/>
      </w:pPr>
      <w:r w:rsidRPr="007E467E">
        <w:t>The advocacy for the</w:t>
      </w:r>
      <w:r w:rsidR="008E4B3C" w:rsidRPr="007E467E">
        <w:t xml:space="preserve"> consumer </w:t>
      </w:r>
      <w:r w:rsidRPr="007E467E">
        <w:t xml:space="preserve">(in the CIM process) providing their informed </w:t>
      </w:r>
      <w:r w:rsidR="008E4B3C" w:rsidRPr="007E467E">
        <w:t>perspective</w:t>
      </w:r>
    </w:p>
    <w:p w14:paraId="00C23A37" w14:textId="6B856C35" w:rsidR="00292A06" w:rsidRPr="007E467E" w:rsidRDefault="00292A06" w:rsidP="00292A06">
      <w:pPr>
        <w:ind w:right="-755"/>
      </w:pPr>
    </w:p>
    <w:p w14:paraId="7386BD19" w14:textId="4F9BD9B0" w:rsidR="00292A06" w:rsidRPr="007E467E" w:rsidRDefault="00336446" w:rsidP="00292A06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E467E">
        <w:rPr>
          <w:rStyle w:val="Hyperlink"/>
          <w:bCs/>
          <w:color w:val="9B1D54"/>
          <w:sz w:val="28"/>
          <w:szCs w:val="28"/>
          <w:u w:val="none"/>
        </w:rPr>
        <w:t>Role</w:t>
      </w:r>
      <w:r w:rsidR="00292A06" w:rsidRPr="007E467E">
        <w:rPr>
          <w:rStyle w:val="Hyperlink"/>
          <w:bCs/>
          <w:color w:val="9B1D54"/>
          <w:sz w:val="28"/>
          <w:szCs w:val="28"/>
          <w:u w:val="none"/>
        </w:rPr>
        <w:t xml:space="preserve"> of consumers 2 and 3</w:t>
      </w:r>
      <w:r w:rsidR="0044581D" w:rsidRPr="0044581D">
        <w:t xml:space="preserve"> </w:t>
      </w:r>
      <w:r w:rsidR="0044581D">
        <w:rPr>
          <w:rStyle w:val="Hyperlink"/>
          <w:bCs/>
          <w:color w:val="9B1D54"/>
          <w:sz w:val="28"/>
          <w:szCs w:val="28"/>
          <w:u w:val="none"/>
        </w:rPr>
        <w:t>(</w:t>
      </w:r>
      <w:r w:rsidR="0044581D" w:rsidRPr="0044581D">
        <w:rPr>
          <w:rStyle w:val="Hyperlink"/>
          <w:bCs/>
          <w:color w:val="9B1D54"/>
          <w:sz w:val="28"/>
          <w:szCs w:val="28"/>
          <w:u w:val="none"/>
        </w:rPr>
        <w:t>review educational resources and tools th</w:t>
      </w:r>
      <w:r w:rsidR="0044581D">
        <w:rPr>
          <w:rStyle w:val="Hyperlink"/>
          <w:bCs/>
          <w:color w:val="9B1D54"/>
          <w:sz w:val="28"/>
          <w:szCs w:val="28"/>
          <w:u w:val="none"/>
        </w:rPr>
        <w:t>at are being developed)</w:t>
      </w:r>
    </w:p>
    <w:p w14:paraId="7380E8CE" w14:textId="5318F08E" w:rsidR="00292A06" w:rsidRPr="007E467E" w:rsidRDefault="00336446" w:rsidP="00292A06">
      <w:pPr>
        <w:pStyle w:val="ListParagraph"/>
        <w:numPr>
          <w:ilvl w:val="0"/>
          <w:numId w:val="11"/>
        </w:numPr>
        <w:ind w:right="-755"/>
        <w:rPr>
          <w:rStyle w:val="Hyperlink"/>
          <w:color w:val="auto"/>
          <w:u w:val="none"/>
        </w:rPr>
      </w:pPr>
      <w:r w:rsidRPr="007E467E">
        <w:rPr>
          <w:rStyle w:val="Hyperlink"/>
          <w:color w:val="auto"/>
          <w:u w:val="none"/>
        </w:rPr>
        <w:t>The ability to review educational resources and tools in logical manner with high attention to detail</w:t>
      </w:r>
    </w:p>
    <w:p w14:paraId="7ED15A43" w14:textId="3BF13F82" w:rsidR="00336446" w:rsidRPr="007E467E" w:rsidRDefault="00E16216" w:rsidP="00292A06">
      <w:pPr>
        <w:pStyle w:val="ListParagraph"/>
        <w:numPr>
          <w:ilvl w:val="0"/>
          <w:numId w:val="11"/>
        </w:numPr>
        <w:ind w:right="-755"/>
        <w:rPr>
          <w:rStyle w:val="Hyperlink"/>
          <w:color w:val="auto"/>
          <w:u w:val="none"/>
        </w:rPr>
      </w:pPr>
      <w:r w:rsidRPr="007E467E">
        <w:rPr>
          <w:rStyle w:val="Hyperlink"/>
          <w:color w:val="auto"/>
          <w:u w:val="none"/>
        </w:rPr>
        <w:t xml:space="preserve">Provide sound, clear written and verbal feedback to </w:t>
      </w:r>
      <w:r w:rsidR="00940108" w:rsidRPr="007E467E">
        <w:rPr>
          <w:rStyle w:val="Hyperlink"/>
          <w:color w:val="auto"/>
          <w:u w:val="none"/>
        </w:rPr>
        <w:t>PSQIS Project Officer</w:t>
      </w:r>
      <w:r w:rsidR="002A41BA" w:rsidRPr="007E467E">
        <w:rPr>
          <w:rStyle w:val="Hyperlink"/>
          <w:color w:val="auto"/>
          <w:u w:val="none"/>
        </w:rPr>
        <w:t xml:space="preserve">  </w:t>
      </w:r>
    </w:p>
    <w:p w14:paraId="7928EB51" w14:textId="2AEC2039" w:rsidR="00292A06" w:rsidRPr="007E467E" w:rsidRDefault="00292A06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</w:p>
    <w:p w14:paraId="61CF78F9" w14:textId="5BAF8FB5" w:rsidR="007A67B5" w:rsidRPr="007E467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E467E">
        <w:rPr>
          <w:rStyle w:val="Hyperlink"/>
          <w:bCs/>
          <w:color w:val="9B1D54"/>
          <w:sz w:val="28"/>
          <w:szCs w:val="28"/>
          <w:u w:val="none"/>
        </w:rPr>
        <w:t>Who is it for?</w:t>
      </w:r>
    </w:p>
    <w:p w14:paraId="6F60DFF7" w14:textId="4D8D4405" w:rsidR="005A08BE" w:rsidRPr="007E467E" w:rsidRDefault="000E44EE" w:rsidP="005A08BE">
      <w:pPr>
        <w:ind w:right="-755"/>
      </w:pPr>
      <w:r w:rsidRPr="007E467E">
        <w:t>For consumer 1, t</w:t>
      </w:r>
      <w:r w:rsidR="005A08BE" w:rsidRPr="007E467E">
        <w:t>h</w:t>
      </w:r>
      <w:r w:rsidR="00826BE5" w:rsidRPr="007E467E">
        <w:t>e</w:t>
      </w:r>
      <w:r w:rsidR="005A08BE" w:rsidRPr="007E467E">
        <w:t xml:space="preserve"> opportunity </w:t>
      </w:r>
      <w:r w:rsidR="00826BE5" w:rsidRPr="007E467E">
        <w:t xml:space="preserve">for membership of the CIRG committee </w:t>
      </w:r>
      <w:r w:rsidR="005A08BE" w:rsidRPr="007E467E">
        <w:t xml:space="preserve">would suit a consumer with </w:t>
      </w:r>
      <w:r w:rsidR="008E4B3C" w:rsidRPr="007E467E">
        <w:t>past</w:t>
      </w:r>
      <w:r w:rsidR="005A08BE" w:rsidRPr="007E467E">
        <w:t xml:space="preserve"> committee experience, either at the Hospital and Health Service, or Statewide level</w:t>
      </w:r>
      <w:r w:rsidR="008E4B3C" w:rsidRPr="007E467E">
        <w:t xml:space="preserve"> </w:t>
      </w:r>
      <w:r w:rsidR="005855AC" w:rsidRPr="007E467E">
        <w:t xml:space="preserve">who has experience with reviewing, appraising and evaluating documents/papers and </w:t>
      </w:r>
      <w:r w:rsidR="00FF20C6" w:rsidRPr="007E467E">
        <w:t xml:space="preserve">who </w:t>
      </w:r>
      <w:r w:rsidR="00E16216" w:rsidRPr="007E467E">
        <w:t>may have</w:t>
      </w:r>
      <w:r w:rsidR="00FF20C6" w:rsidRPr="007E467E">
        <w:t xml:space="preserve"> </w:t>
      </w:r>
      <w:r w:rsidR="008E4B3C" w:rsidRPr="007E467E">
        <w:t xml:space="preserve">experience / knowledge of patient safety </w:t>
      </w:r>
      <w:r w:rsidRPr="007E467E">
        <w:t xml:space="preserve">reports </w:t>
      </w:r>
      <w:r w:rsidR="008E4B3C" w:rsidRPr="007E467E">
        <w:t>and/or clinical incident management</w:t>
      </w:r>
      <w:r w:rsidR="005A08BE" w:rsidRPr="007E467E">
        <w:t xml:space="preserve">. </w:t>
      </w:r>
    </w:p>
    <w:p w14:paraId="0686B614" w14:textId="2DC269E2" w:rsidR="00826BE5" w:rsidRPr="007E467E" w:rsidRDefault="0032015E" w:rsidP="005A08BE">
      <w:pPr>
        <w:ind w:right="-755"/>
      </w:pPr>
      <w:r w:rsidRPr="007E467E">
        <w:t xml:space="preserve">For </w:t>
      </w:r>
      <w:r w:rsidR="00E16216" w:rsidRPr="007E467E">
        <w:t>consumers 2 and 3</w:t>
      </w:r>
      <w:r w:rsidRPr="007E467E">
        <w:t>, it is desirable to</w:t>
      </w:r>
      <w:r w:rsidR="00E16216" w:rsidRPr="007E467E">
        <w:t xml:space="preserve"> have some </w:t>
      </w:r>
      <w:r w:rsidR="002A41BA" w:rsidRPr="007E467E">
        <w:t xml:space="preserve">past </w:t>
      </w:r>
      <w:r w:rsidR="00E16216" w:rsidRPr="007E467E">
        <w:t xml:space="preserve">experience in reviewing documents in general but not </w:t>
      </w:r>
      <w:r w:rsidR="00BD6D14" w:rsidRPr="007E467E">
        <w:t>required to have knowledge or experience with clinical incidents</w:t>
      </w:r>
    </w:p>
    <w:p w14:paraId="59468308" w14:textId="7FF9E524" w:rsidR="00FC4679" w:rsidRPr="007E467E" w:rsidRDefault="00FC4679" w:rsidP="005A08BE">
      <w:pPr>
        <w:ind w:right="-755"/>
      </w:pPr>
      <w:r w:rsidRPr="007E467E">
        <w:t>The successful applicants will need own computer and some level of computer literacy to review Microsoft word documents online and communicate via email</w:t>
      </w:r>
      <w:r w:rsidR="000E44EE" w:rsidRPr="007E467E">
        <w:t>, teleconference</w:t>
      </w:r>
      <w:r w:rsidRPr="007E467E">
        <w:t xml:space="preserve"> </w:t>
      </w:r>
      <w:r w:rsidR="000E44EE" w:rsidRPr="007E467E">
        <w:t>and</w:t>
      </w:r>
      <w:r w:rsidRPr="007E467E">
        <w:t xml:space="preserve"> directly.  </w:t>
      </w:r>
    </w:p>
    <w:p w14:paraId="727CFC11" w14:textId="77777777" w:rsidR="007A67B5" w:rsidRPr="007E467E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E467E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3FDF0366" w14:textId="4144194F" w:rsidR="005D726A" w:rsidRPr="007E467E" w:rsidRDefault="008E4B3C" w:rsidP="005D726A">
      <w:pPr>
        <w:autoSpaceDE w:val="0"/>
        <w:autoSpaceDN w:val="0"/>
        <w:adjustRightInd w:val="0"/>
        <w:spacing w:after="120" w:line="240" w:lineRule="auto"/>
      </w:pPr>
      <w:r w:rsidRPr="007E467E">
        <w:t>Meetings are held monthly – Monday 4:00-5:00pm with options to attend in person at 15 Butterfield St or via video / teleconference.  Parking is available on site.</w:t>
      </w:r>
    </w:p>
    <w:p w14:paraId="69923732" w14:textId="77777777" w:rsidR="007A67B5" w:rsidRPr="007E467E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7E467E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295C5C85" w14:textId="29050957" w:rsidR="008E4B3C" w:rsidRPr="007E467E" w:rsidRDefault="008E4B3C" w:rsidP="005D726A">
      <w:r w:rsidRPr="007E467E">
        <w:t>The successful applicant</w:t>
      </w:r>
      <w:r w:rsidR="00826BE5" w:rsidRPr="007E467E">
        <w:t>s</w:t>
      </w:r>
      <w:r w:rsidRPr="007E467E">
        <w:t xml:space="preserve"> will be remunerated for their time in line with </w:t>
      </w:r>
      <w:hyperlink r:id="rId10" w:history="1">
        <w:r w:rsidRPr="007E467E">
          <w:rPr>
            <w:rStyle w:val="Hyperlink"/>
          </w:rPr>
          <w:t>Health Consumers Queensland’s remuneration position statement</w:t>
        </w:r>
      </w:hyperlink>
      <w:r w:rsidRPr="007E467E">
        <w:t>. Parking and travel expenses will be covered</w:t>
      </w:r>
    </w:p>
    <w:p w14:paraId="6AE84007" w14:textId="38572DB6" w:rsidR="00FC4679" w:rsidRPr="007E467E" w:rsidRDefault="003D7E0F" w:rsidP="005D726A">
      <w:r w:rsidRPr="007E467E">
        <w:lastRenderedPageBreak/>
        <w:t xml:space="preserve">PSQIS staff will </w:t>
      </w:r>
      <w:r w:rsidR="0044581D" w:rsidRPr="007E467E">
        <w:t>provide an</w:t>
      </w:r>
      <w:r w:rsidRPr="007E467E">
        <w:t xml:space="preserve"> orientation to clinical incident management and </w:t>
      </w:r>
      <w:r w:rsidR="00FF20C6" w:rsidRPr="007E467E">
        <w:t>the CIRG</w:t>
      </w:r>
      <w:r w:rsidR="00C86A2E" w:rsidRPr="007E467E">
        <w:t xml:space="preserve"> role</w:t>
      </w:r>
      <w:r w:rsidR="00FF20C6" w:rsidRPr="007E467E">
        <w:t xml:space="preserve"> within the PSQIS setting</w:t>
      </w:r>
      <w:r w:rsidR="00C86A2E" w:rsidRPr="007E467E">
        <w:t xml:space="preserve">. </w:t>
      </w:r>
    </w:p>
    <w:p w14:paraId="2046FDC7" w14:textId="77777777" w:rsidR="007A67B5" w:rsidRPr="007E467E" w:rsidRDefault="007A67B5" w:rsidP="00C86A2E">
      <w:pPr>
        <w:rPr>
          <w:rStyle w:val="Hyperlink"/>
          <w:bCs/>
          <w:color w:val="9B1D54"/>
          <w:sz w:val="28"/>
          <w:szCs w:val="28"/>
          <w:u w:val="none"/>
        </w:rPr>
      </w:pPr>
      <w:r w:rsidRPr="007E467E">
        <w:t xml:space="preserve"> </w:t>
      </w:r>
      <w:r w:rsidRPr="007E467E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5E826C5F" w14:textId="057605C1" w:rsidR="007A67B5" w:rsidRPr="007E467E" w:rsidRDefault="007A67B5" w:rsidP="007A67B5">
      <w:pPr>
        <w:rPr>
          <w:b/>
          <w:color w:val="0563C1" w:themeColor="hyperlink"/>
          <w:u w:val="single"/>
        </w:rPr>
      </w:pPr>
      <w:r w:rsidRPr="007E467E">
        <w:rPr>
          <w:b/>
        </w:rPr>
        <w:t>Please complete this consumer application form and return to</w:t>
      </w:r>
      <w:r w:rsidRPr="007E467E">
        <w:rPr>
          <w:b/>
          <w:i/>
        </w:rPr>
        <w:t xml:space="preserve"> </w:t>
      </w:r>
      <w:hyperlink r:id="rId11" w:history="1">
        <w:r w:rsidRPr="007E467E">
          <w:rPr>
            <w:rStyle w:val="Hyperlink"/>
            <w:b/>
          </w:rPr>
          <w:t>consumer@hcq.org.au</w:t>
        </w:r>
      </w:hyperlink>
      <w:r w:rsidRPr="007E467E">
        <w:rPr>
          <w:rStyle w:val="Hyperlink"/>
          <w:b/>
        </w:rPr>
        <w:t xml:space="preserve"> </w:t>
      </w:r>
      <w:r w:rsidRPr="007E467E">
        <w:rPr>
          <w:rStyle w:val="Hyperlink"/>
          <w:color w:val="auto"/>
          <w:u w:val="none"/>
        </w:rPr>
        <w:t>by</w:t>
      </w:r>
      <w:r w:rsidR="0044581D">
        <w:rPr>
          <w:rStyle w:val="Hyperlink"/>
          <w:color w:val="auto"/>
          <w:u w:val="none"/>
        </w:rPr>
        <w:t xml:space="preserve"> </w:t>
      </w:r>
      <w:r w:rsidR="0044581D" w:rsidRPr="0095054A">
        <w:rPr>
          <w:rStyle w:val="Hyperlink"/>
          <w:b/>
          <w:color w:val="auto"/>
          <w:u w:val="none"/>
        </w:rPr>
        <w:t>5pm</w:t>
      </w:r>
      <w:r w:rsidR="0044581D" w:rsidRPr="0095054A">
        <w:rPr>
          <w:rFonts w:cstheme="minorHAnsi"/>
          <w:b/>
        </w:rPr>
        <w:t>Thursday 26</w:t>
      </w:r>
      <w:r w:rsidR="0044581D" w:rsidRPr="0095054A">
        <w:rPr>
          <w:rFonts w:cstheme="minorHAnsi"/>
          <w:b/>
          <w:vertAlign w:val="superscript"/>
        </w:rPr>
        <w:t>th</w:t>
      </w:r>
      <w:r w:rsidR="0044581D" w:rsidRPr="005F3E1B">
        <w:rPr>
          <w:rFonts w:cstheme="minorHAnsi"/>
        </w:rPr>
        <w:t xml:space="preserve"> </w:t>
      </w:r>
      <w:r w:rsidR="0044581D" w:rsidRPr="0095054A">
        <w:rPr>
          <w:rFonts w:cstheme="minorHAnsi"/>
          <w:b/>
        </w:rPr>
        <w:t>M</w:t>
      </w:r>
      <w:r w:rsidR="0095054A" w:rsidRPr="0095054A">
        <w:rPr>
          <w:rFonts w:cstheme="minorHAnsi"/>
          <w:b/>
        </w:rPr>
        <w:t>arch.</w:t>
      </w:r>
    </w:p>
    <w:p w14:paraId="4C845160" w14:textId="77777777" w:rsidR="007A67B5" w:rsidRPr="007E467E" w:rsidRDefault="007A67B5" w:rsidP="007A67B5">
      <w:r w:rsidRPr="007E467E">
        <w:t xml:space="preserve">For assistance please contact Health Consumers Queensland via </w:t>
      </w:r>
      <w:hyperlink r:id="rId12" w:history="1">
        <w:r w:rsidRPr="007E467E">
          <w:rPr>
            <w:rStyle w:val="Hyperlink"/>
          </w:rPr>
          <w:t>consumer@hcq.org.au</w:t>
        </w:r>
      </w:hyperlink>
      <w:r w:rsidRPr="007E467E">
        <w:t xml:space="preserve"> or by phone on 07 3012 9090.</w:t>
      </w:r>
    </w:p>
    <w:p w14:paraId="226714B9" w14:textId="77777777" w:rsidR="007A67B5" w:rsidRPr="007E467E" w:rsidRDefault="007A67B5" w:rsidP="007A67B5">
      <w:pPr>
        <w:jc w:val="center"/>
        <w:rPr>
          <w:b/>
          <w:sz w:val="32"/>
          <w:szCs w:val="24"/>
        </w:rPr>
      </w:pPr>
      <w:r w:rsidRPr="007E467E">
        <w:rPr>
          <w:b/>
          <w:sz w:val="32"/>
          <w:szCs w:val="24"/>
        </w:rPr>
        <w:t>Consumer Application Form</w:t>
      </w:r>
    </w:p>
    <w:p w14:paraId="6792D060" w14:textId="248311FD" w:rsidR="00947678" w:rsidRPr="007E467E" w:rsidRDefault="008D7B29" w:rsidP="008D7B29">
      <w:pPr>
        <w:jc w:val="center"/>
        <w:rPr>
          <w:b/>
          <w:sz w:val="32"/>
          <w:szCs w:val="24"/>
        </w:rPr>
      </w:pPr>
      <w:r w:rsidRPr="008D7B29">
        <w:rPr>
          <w:b/>
          <w:sz w:val="32"/>
          <w:szCs w:val="24"/>
        </w:rPr>
        <w:t>Consumer representatives for the Clinical Incident Reform Group Project</w:t>
      </w:r>
    </w:p>
    <w:p w14:paraId="0650E48C" w14:textId="77777777" w:rsidR="008C3230" w:rsidRPr="007E467E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Full name:</w:t>
      </w:r>
    </w:p>
    <w:p w14:paraId="685C7106" w14:textId="77777777" w:rsidR="008C3230" w:rsidRPr="007E467E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3D68ECCA" w14:textId="77777777" w:rsidR="008C3230" w:rsidRPr="007E467E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7D50D3A7" w14:textId="77777777" w:rsidR="008C3230" w:rsidRPr="007E467E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Postal address:</w:t>
      </w:r>
    </w:p>
    <w:p w14:paraId="20D49871" w14:textId="77777777" w:rsidR="008C3230" w:rsidRPr="007E467E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Postcode:</w:t>
      </w:r>
    </w:p>
    <w:p w14:paraId="16E8FAC0" w14:textId="77777777" w:rsidR="009D66F5" w:rsidRPr="007E467E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2E8471C" w14:textId="77777777" w:rsidR="008C3230" w:rsidRPr="007E467E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7E467E">
        <w:rPr>
          <w:rFonts w:asciiTheme="minorHAnsi" w:hAnsiTheme="minorHAnsi" w:cstheme="minorHAnsi"/>
          <w:color w:val="auto"/>
          <w:sz w:val="22"/>
        </w:rPr>
        <w:t>application,</w:t>
      </w:r>
      <w:r w:rsidRPr="007E467E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3FCA8DB" w14:textId="77777777" w:rsidR="008C3230" w:rsidRPr="007E467E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EE6AF6E" w14:textId="77777777" w:rsidR="008C3230" w:rsidRPr="007E467E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62E4DF95" w14:textId="77777777" w:rsidR="008C3230" w:rsidRPr="007E467E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Would you like us to retain this application for future vacancies?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E467E">
        <w:rPr>
          <w:rFonts w:asciiTheme="minorHAnsi" w:hAnsiTheme="minorHAnsi" w:cstheme="minorHAnsi"/>
          <w:b w:val="0"/>
          <w:i/>
          <w:color w:val="auto"/>
          <w:sz w:val="22"/>
        </w:rPr>
        <w:t>(Applications not retained are destroyed once the application process is complete.)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7E467E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0162420E" w14:textId="77777777" w:rsidR="008C3230" w:rsidRPr="007E467E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7E467E" w:rsidSect="00FB7821">
          <w:headerReference w:type="default" r:id="rId13"/>
          <w:footerReference w:type="default" r:id="rId14"/>
          <w:pgSz w:w="12240" w:h="15840"/>
          <w:pgMar w:top="1440" w:right="1041" w:bottom="1276" w:left="1440" w:header="11" w:footer="720" w:gutter="0"/>
          <w:cols w:space="720"/>
          <w:docGrid w:linePitch="360"/>
        </w:sectPr>
      </w:pPr>
    </w:p>
    <w:p w14:paraId="318CCE48" w14:textId="77777777" w:rsidR="009D66F5" w:rsidRPr="007E467E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1D266AB" w14:textId="77777777" w:rsidR="008C3230" w:rsidRPr="007E467E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7FB96A2C" w14:textId="77777777" w:rsidR="008C3230" w:rsidRPr="007E467E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7E467E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2B1D74" w14:textId="77777777" w:rsidR="008C3230" w:rsidRPr="007E467E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lastRenderedPageBreak/>
        <w:t>Living with a disability/chronic condition</w:t>
      </w:r>
    </w:p>
    <w:p w14:paraId="1C159687" w14:textId="77777777" w:rsidR="008C3230" w:rsidRPr="007E467E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Caring for someone with a disability</w:t>
      </w:r>
    </w:p>
    <w:p w14:paraId="033C730B" w14:textId="77777777" w:rsidR="008C3230" w:rsidRPr="007E467E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411610BD" w14:textId="77777777" w:rsidR="008C3230" w:rsidRPr="007E467E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068CEECB" w14:textId="77777777" w:rsidR="008C3230" w:rsidRPr="007E467E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67B19AD7" w14:textId="77777777" w:rsidR="008C3230" w:rsidRPr="007E467E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238E13AE" w14:textId="77777777" w:rsidR="008C3230" w:rsidRPr="007E467E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1C95D16E" w14:textId="17F54080" w:rsidR="009D66F5" w:rsidRPr="007E467E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lastRenderedPageBreak/>
        <w:t>Do you identify as: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 Prefer not to </w:t>
      </w:r>
      <w:proofErr w:type="gramStart"/>
      <w:r w:rsidRPr="007E467E">
        <w:rPr>
          <w:rFonts w:asciiTheme="minorHAnsi" w:hAnsiTheme="minorHAnsi" w:cstheme="minorHAnsi"/>
          <w:b w:val="0"/>
          <w:color w:val="auto"/>
          <w:sz w:val="22"/>
        </w:rPr>
        <w:t>state</w:t>
      </w:r>
      <w:proofErr w:type="gramEnd"/>
    </w:p>
    <w:p w14:paraId="3A902CEC" w14:textId="77777777" w:rsidR="009D66F5" w:rsidRPr="007E467E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7E467E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 w:rsidRPr="007E467E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481829E8" w14:textId="77777777" w:rsidR="009D66F5" w:rsidRPr="007E467E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20C90C1" w14:textId="77777777" w:rsidR="009D66F5" w:rsidRPr="007E467E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7E467E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7E467E">
        <w:rPr>
          <w:rFonts w:asciiTheme="minorHAnsi" w:hAnsiTheme="minorHAnsi" w:cstheme="minorHAnsi"/>
          <w:bCs/>
          <w:color w:val="auto"/>
          <w:sz w:val="22"/>
        </w:rPr>
        <w:t>e</w:t>
      </w:r>
      <w:r w:rsidRPr="007E467E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7E467E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7E467E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7E467E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7E467E">
        <w:rPr>
          <w:rFonts w:asciiTheme="minorHAnsi" w:hAnsiTheme="minorHAnsi" w:cstheme="minorHAnsi"/>
          <w:bCs/>
          <w:color w:val="auto"/>
          <w:sz w:val="22"/>
        </w:rPr>
        <w:t>e:</w:t>
      </w:r>
      <w:r w:rsidRPr="007E467E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7E467E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7E467E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7E467E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7E467E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7E467E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7E467E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7E467E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7E467E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7E467E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171A3666" w14:textId="77777777" w:rsidR="009D66F5" w:rsidRPr="007E467E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p w14:paraId="63A5AB50" w14:textId="77777777" w:rsidR="009D66F5" w:rsidRPr="007E467E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7E467E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7E467E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705F12A" w14:textId="0F852524" w:rsidR="007B1118" w:rsidRPr="007E467E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4A01ADAD" w14:textId="77777777" w:rsidR="007B1118" w:rsidRPr="00FB7821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FB7821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788C4A9C" w14:textId="4A8FBFD6" w:rsidR="001D6AFB" w:rsidRPr="00FB7821" w:rsidRDefault="001D6AFB" w:rsidP="001D6AFB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FB7821">
        <w:rPr>
          <w:rFonts w:asciiTheme="minorHAnsi" w:hAnsiTheme="minorHAnsi" w:cstheme="minorHAnsi"/>
          <w:color w:val="auto"/>
          <w:sz w:val="22"/>
        </w:rPr>
        <w:t>Please describe any experience you have had with patient safety systems and/or clinical incident management and/or review of quality and safety reports (Consumer 1)</w:t>
      </w:r>
    </w:p>
    <w:p w14:paraId="07BF5AA6" w14:textId="530546FA" w:rsidR="00FB7821" w:rsidRDefault="00FB7821" w:rsidP="00FB7821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0C80D943" w14:textId="623D5B3F" w:rsidR="00FB7821" w:rsidRDefault="00FB7821" w:rsidP="00FB7821">
      <w:pPr>
        <w:pStyle w:val="StaffH1"/>
        <w:ind w:left="36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6E26D94" w14:textId="0F4A9449" w:rsidR="00FB7821" w:rsidRDefault="00FB7821" w:rsidP="00FB7821">
      <w:pPr>
        <w:pStyle w:val="StaffH1"/>
        <w:ind w:left="36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B276C7E" w14:textId="77777777" w:rsidR="0095054A" w:rsidRPr="00FB7821" w:rsidRDefault="0095054A" w:rsidP="00FB7821">
      <w:pPr>
        <w:pStyle w:val="StaffH1"/>
        <w:ind w:left="360"/>
        <w:rPr>
          <w:rFonts w:asciiTheme="minorHAnsi" w:hAnsiTheme="minorHAnsi" w:cstheme="minorHAnsi"/>
          <w:b w:val="0"/>
          <w:i/>
          <w:color w:val="auto"/>
          <w:sz w:val="22"/>
        </w:rPr>
      </w:pPr>
      <w:bookmarkStart w:id="2" w:name="_GoBack"/>
      <w:bookmarkEnd w:id="2"/>
    </w:p>
    <w:p w14:paraId="2DBF6F59" w14:textId="461B9D28" w:rsidR="006851B6" w:rsidRPr="00FB7821" w:rsidRDefault="006851B6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FB7821">
        <w:rPr>
          <w:rFonts w:asciiTheme="minorHAnsi" w:hAnsiTheme="minorHAnsi" w:cstheme="minorHAnsi"/>
          <w:color w:val="auto"/>
          <w:sz w:val="22"/>
        </w:rPr>
        <w:t xml:space="preserve">Please describe your experience/ knowledge of reviewing discussion papers, </w:t>
      </w:r>
      <w:r w:rsidR="001D6AFB" w:rsidRPr="00FB7821">
        <w:rPr>
          <w:rFonts w:asciiTheme="minorHAnsi" w:hAnsiTheme="minorHAnsi" w:cstheme="minorHAnsi"/>
          <w:color w:val="auto"/>
          <w:sz w:val="22"/>
        </w:rPr>
        <w:t>r</w:t>
      </w:r>
      <w:r w:rsidRPr="00FB7821">
        <w:rPr>
          <w:rFonts w:asciiTheme="minorHAnsi" w:hAnsiTheme="minorHAnsi" w:cstheme="minorHAnsi"/>
          <w:color w:val="auto"/>
          <w:sz w:val="22"/>
        </w:rPr>
        <w:t>eports and education material</w:t>
      </w:r>
      <w:r w:rsidR="001D6AFB" w:rsidRPr="00FB7821">
        <w:rPr>
          <w:rFonts w:asciiTheme="minorHAnsi" w:hAnsiTheme="minorHAnsi" w:cstheme="minorHAnsi"/>
          <w:color w:val="auto"/>
          <w:sz w:val="22"/>
        </w:rPr>
        <w:t xml:space="preserve"> (Consumers 2 and 3)</w:t>
      </w:r>
    </w:p>
    <w:p w14:paraId="2C68DBC1" w14:textId="1792C3F9" w:rsidR="00FB7821" w:rsidRDefault="00FB7821" w:rsidP="00FB7821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7474EEF0" w14:textId="77777777" w:rsidR="00FB7821" w:rsidRDefault="00FB7821" w:rsidP="00FB7821">
      <w:pPr>
        <w:pStyle w:val="StaffH1"/>
        <w:ind w:left="360"/>
        <w:rPr>
          <w:rFonts w:asciiTheme="minorHAnsi" w:hAnsiTheme="minorHAnsi" w:cstheme="minorHAnsi"/>
          <w:color w:val="auto"/>
          <w:sz w:val="22"/>
        </w:rPr>
      </w:pPr>
    </w:p>
    <w:p w14:paraId="54D09DAA" w14:textId="59DBEF12" w:rsidR="00FB7821" w:rsidRDefault="00FB7821" w:rsidP="00FB7821">
      <w:pPr>
        <w:pStyle w:val="StaffH1"/>
        <w:ind w:left="36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56F690B" w14:textId="77777777" w:rsidR="0095054A" w:rsidRPr="00FB7821" w:rsidRDefault="0095054A" w:rsidP="00FB7821">
      <w:pPr>
        <w:pStyle w:val="StaffH1"/>
        <w:ind w:left="360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D70A262" w14:textId="1A403F0C" w:rsidR="00553171" w:rsidRPr="007E467E" w:rsidRDefault="0075352C" w:rsidP="0075352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 xml:space="preserve">Please describe your experience as a health consumer representative including committees, focus groups, surveys, governance roles, etc. </w:t>
      </w:r>
    </w:p>
    <w:p w14:paraId="25126FF5" w14:textId="77777777" w:rsidR="00553171" w:rsidRPr="007E467E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E467E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7E467E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59DC02D5" w14:textId="5FDB2702" w:rsidR="00AF4875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757463C5" w14:textId="7B998C51" w:rsidR="0095054A" w:rsidRDefault="0095054A" w:rsidP="00553171">
      <w:pPr>
        <w:pStyle w:val="StaffH1"/>
        <w:rPr>
          <w:rFonts w:asciiTheme="minorHAnsi" w:hAnsiTheme="minorHAnsi" w:cstheme="minorHAnsi"/>
          <w:sz w:val="22"/>
        </w:rPr>
      </w:pPr>
    </w:p>
    <w:p w14:paraId="4CA8EA59" w14:textId="272B9422" w:rsidR="0095054A" w:rsidRDefault="0095054A" w:rsidP="00553171">
      <w:pPr>
        <w:pStyle w:val="StaffH1"/>
        <w:rPr>
          <w:rFonts w:asciiTheme="minorHAnsi" w:hAnsiTheme="minorHAnsi" w:cstheme="minorHAnsi"/>
          <w:sz w:val="22"/>
        </w:rPr>
      </w:pPr>
    </w:p>
    <w:p w14:paraId="4DDEAFE5" w14:textId="10FE2F98" w:rsidR="0095054A" w:rsidRDefault="0095054A" w:rsidP="00553171">
      <w:pPr>
        <w:pStyle w:val="StaffH1"/>
        <w:rPr>
          <w:rFonts w:asciiTheme="minorHAnsi" w:hAnsiTheme="minorHAnsi" w:cstheme="minorHAnsi"/>
          <w:sz w:val="22"/>
        </w:rPr>
      </w:pPr>
    </w:p>
    <w:p w14:paraId="027498DD" w14:textId="28C01E81" w:rsidR="0095054A" w:rsidRDefault="0095054A" w:rsidP="00553171">
      <w:pPr>
        <w:pStyle w:val="StaffH1"/>
        <w:rPr>
          <w:rFonts w:asciiTheme="minorHAnsi" w:hAnsiTheme="minorHAnsi" w:cstheme="minorHAnsi"/>
          <w:sz w:val="22"/>
        </w:rPr>
      </w:pPr>
    </w:p>
    <w:p w14:paraId="6D5F1334" w14:textId="77777777" w:rsidR="0095054A" w:rsidRDefault="0095054A" w:rsidP="00553171">
      <w:pPr>
        <w:pStyle w:val="StaffH1"/>
        <w:rPr>
          <w:rFonts w:asciiTheme="minorHAnsi" w:hAnsiTheme="minorHAnsi" w:cstheme="minorHAnsi"/>
          <w:sz w:val="22"/>
        </w:rPr>
      </w:pPr>
    </w:p>
    <w:p w14:paraId="11F85669" w14:textId="77777777" w:rsidR="00FB7821" w:rsidRPr="007E467E" w:rsidRDefault="00FB7821" w:rsidP="00553171">
      <w:pPr>
        <w:pStyle w:val="StaffH1"/>
        <w:rPr>
          <w:rFonts w:asciiTheme="minorHAnsi" w:hAnsiTheme="minorHAnsi" w:cstheme="minorHAnsi"/>
          <w:sz w:val="22"/>
        </w:rPr>
      </w:pPr>
    </w:p>
    <w:p w14:paraId="68658EBA" w14:textId="77777777" w:rsidR="008012D5" w:rsidRPr="007E467E" w:rsidRDefault="00AF4875" w:rsidP="00AF4875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7E467E">
        <w:rPr>
          <w:b/>
        </w:rPr>
        <w:t>Please describe any connections you have to your community (e.g. networks, groups)</w:t>
      </w:r>
      <w:r w:rsidRPr="007E467E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7E467E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1B215E3F" w14:textId="77777777" w:rsidR="008012D5" w:rsidRPr="007E467E" w:rsidRDefault="008012D5" w:rsidP="00553171">
      <w:pPr>
        <w:pStyle w:val="TableParagraph"/>
        <w:spacing w:before="118"/>
      </w:pPr>
    </w:p>
    <w:p w14:paraId="6A296735" w14:textId="77777777" w:rsidR="00553171" w:rsidRPr="007E467E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516951AA" w14:textId="77777777" w:rsidR="008012D5" w:rsidRPr="007E467E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C9BD669" w14:textId="2F7D1AEE" w:rsidR="008D7B29" w:rsidRDefault="008D7B2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D7EEAAF" w14:textId="77777777" w:rsidR="008D7B29" w:rsidRPr="007E467E" w:rsidRDefault="008D7B29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33B76331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A510A38" w14:textId="77777777" w:rsidR="00FD0A44" w:rsidRPr="007E467E" w:rsidRDefault="00FD0A44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 w:rsidRPr="007E467E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2201E222" w14:textId="77777777" w:rsidR="00B01FEF" w:rsidRPr="007E467E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3D4CF962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D0805EF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47D879CA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Partnering Activity (</w:t>
      </w:r>
      <w:proofErr w:type="spellStart"/>
      <w:r w:rsidRPr="007E467E">
        <w:rPr>
          <w:rFonts w:asciiTheme="minorHAnsi" w:hAnsiTheme="minorHAnsi" w:cstheme="minorHAnsi"/>
          <w:b w:val="0"/>
          <w:color w:val="auto"/>
          <w:sz w:val="22"/>
        </w:rPr>
        <w:t>eg</w:t>
      </w:r>
      <w:proofErr w:type="spellEnd"/>
      <w:r w:rsidRPr="007E467E">
        <w:rPr>
          <w:rFonts w:asciiTheme="minorHAnsi" w:hAnsiTheme="minorHAnsi" w:cstheme="minorHAnsi"/>
          <w:b w:val="0"/>
          <w:color w:val="auto"/>
          <w:sz w:val="22"/>
        </w:rPr>
        <w:t>. Committee Chair):</w:t>
      </w:r>
    </w:p>
    <w:p w14:paraId="56C51DA9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630FD015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7E467E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70AEA0D9" w14:textId="77777777" w:rsidR="00FD0A44" w:rsidRPr="007E467E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765DA242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7E467E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AE96C" w14:textId="77777777" w:rsidR="001D4F0D" w:rsidRDefault="001D4F0D" w:rsidP="007B1118">
      <w:pPr>
        <w:spacing w:after="0" w:line="240" w:lineRule="auto"/>
      </w:pPr>
      <w:r>
        <w:separator/>
      </w:r>
    </w:p>
  </w:endnote>
  <w:endnote w:type="continuationSeparator" w:id="0">
    <w:p w14:paraId="6E98DF7B" w14:textId="77777777" w:rsidR="001D4F0D" w:rsidRDefault="001D4F0D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1EF644" w14:textId="03AC75F1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5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DA43FA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7CCD8" w14:textId="77777777" w:rsidR="001D4F0D" w:rsidRDefault="001D4F0D" w:rsidP="007B1118">
      <w:pPr>
        <w:spacing w:after="0" w:line="240" w:lineRule="auto"/>
      </w:pPr>
      <w:r>
        <w:separator/>
      </w:r>
    </w:p>
  </w:footnote>
  <w:footnote w:type="continuationSeparator" w:id="0">
    <w:p w14:paraId="3E506360" w14:textId="77777777" w:rsidR="001D4F0D" w:rsidRDefault="001D4F0D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46C237CD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0126C0E1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48F71219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23E398EE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6D6E9F2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47DC79F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03F56E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04BBD70E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497E2BEA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085E5C3" wp14:editId="1BCC3E49">
                <wp:extent cx="1993900" cy="503460"/>
                <wp:effectExtent l="0" t="0" r="635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086779E4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3535E28B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473CC"/>
    <w:multiLevelType w:val="hybridMultilevel"/>
    <w:tmpl w:val="41106E6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36F702B"/>
    <w:multiLevelType w:val="hybridMultilevel"/>
    <w:tmpl w:val="D006FB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48F75E91"/>
    <w:multiLevelType w:val="hybridMultilevel"/>
    <w:tmpl w:val="6492971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01CA4"/>
    <w:multiLevelType w:val="hybridMultilevel"/>
    <w:tmpl w:val="F94C8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8837FB"/>
    <w:multiLevelType w:val="hybridMultilevel"/>
    <w:tmpl w:val="CA8CE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30"/>
    <w:rsid w:val="000504A0"/>
    <w:rsid w:val="00067FDB"/>
    <w:rsid w:val="00091CD5"/>
    <w:rsid w:val="000A1C45"/>
    <w:rsid w:val="000A6D5A"/>
    <w:rsid w:val="000E44EE"/>
    <w:rsid w:val="001130AC"/>
    <w:rsid w:val="0011708E"/>
    <w:rsid w:val="00151A06"/>
    <w:rsid w:val="00162658"/>
    <w:rsid w:val="001A491C"/>
    <w:rsid w:val="001D4F0D"/>
    <w:rsid w:val="001D6AFB"/>
    <w:rsid w:val="00292A06"/>
    <w:rsid w:val="002940EC"/>
    <w:rsid w:val="002A41BA"/>
    <w:rsid w:val="00312397"/>
    <w:rsid w:val="0032015E"/>
    <w:rsid w:val="00336446"/>
    <w:rsid w:val="00341D41"/>
    <w:rsid w:val="003C6046"/>
    <w:rsid w:val="003D7E0F"/>
    <w:rsid w:val="003F4436"/>
    <w:rsid w:val="00441807"/>
    <w:rsid w:val="0044581D"/>
    <w:rsid w:val="00470534"/>
    <w:rsid w:val="00492193"/>
    <w:rsid w:val="00493227"/>
    <w:rsid w:val="004C741B"/>
    <w:rsid w:val="005051DC"/>
    <w:rsid w:val="00525CBB"/>
    <w:rsid w:val="00537C4D"/>
    <w:rsid w:val="00553171"/>
    <w:rsid w:val="0056614C"/>
    <w:rsid w:val="00567FA9"/>
    <w:rsid w:val="005855AC"/>
    <w:rsid w:val="005A08BE"/>
    <w:rsid w:val="005C728F"/>
    <w:rsid w:val="005D726A"/>
    <w:rsid w:val="005F3E1B"/>
    <w:rsid w:val="006851B6"/>
    <w:rsid w:val="006D55D3"/>
    <w:rsid w:val="00713553"/>
    <w:rsid w:val="00715183"/>
    <w:rsid w:val="0075352C"/>
    <w:rsid w:val="007A67B5"/>
    <w:rsid w:val="007B1118"/>
    <w:rsid w:val="007B7AC0"/>
    <w:rsid w:val="007C208F"/>
    <w:rsid w:val="007E2D3C"/>
    <w:rsid w:val="007E467E"/>
    <w:rsid w:val="008012D5"/>
    <w:rsid w:val="008071B6"/>
    <w:rsid w:val="00826BE5"/>
    <w:rsid w:val="0086396B"/>
    <w:rsid w:val="008672A8"/>
    <w:rsid w:val="008A7949"/>
    <w:rsid w:val="008C3230"/>
    <w:rsid w:val="008D7B29"/>
    <w:rsid w:val="008E4B3C"/>
    <w:rsid w:val="00912C00"/>
    <w:rsid w:val="00916225"/>
    <w:rsid w:val="00940108"/>
    <w:rsid w:val="00947678"/>
    <w:rsid w:val="0095054A"/>
    <w:rsid w:val="00953EBE"/>
    <w:rsid w:val="00996C71"/>
    <w:rsid w:val="009D66F5"/>
    <w:rsid w:val="00A520D3"/>
    <w:rsid w:val="00A94B40"/>
    <w:rsid w:val="00AC0BCB"/>
    <w:rsid w:val="00AC346A"/>
    <w:rsid w:val="00AD5F28"/>
    <w:rsid w:val="00AD7DF8"/>
    <w:rsid w:val="00AF4875"/>
    <w:rsid w:val="00B01FEF"/>
    <w:rsid w:val="00B06416"/>
    <w:rsid w:val="00B07093"/>
    <w:rsid w:val="00B70BDC"/>
    <w:rsid w:val="00BC4847"/>
    <w:rsid w:val="00BD6D14"/>
    <w:rsid w:val="00BE64FB"/>
    <w:rsid w:val="00C532E7"/>
    <w:rsid w:val="00C86A2E"/>
    <w:rsid w:val="00C95682"/>
    <w:rsid w:val="00CE23C7"/>
    <w:rsid w:val="00CF307C"/>
    <w:rsid w:val="00D112A0"/>
    <w:rsid w:val="00D27B45"/>
    <w:rsid w:val="00D537B7"/>
    <w:rsid w:val="00D75652"/>
    <w:rsid w:val="00DB3A31"/>
    <w:rsid w:val="00E02DA4"/>
    <w:rsid w:val="00E16216"/>
    <w:rsid w:val="00E82D04"/>
    <w:rsid w:val="00F33C39"/>
    <w:rsid w:val="00F56AC5"/>
    <w:rsid w:val="00FB7821"/>
    <w:rsid w:val="00FC4679"/>
    <w:rsid w:val="00FD0A44"/>
    <w:rsid w:val="00FD57CA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5B9D9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94B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091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C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C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C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C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sumer@hcq.org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hcq.org.au/wp-content/uploads/2015/12/Consumer-Remuneration-Rates-Dec-2015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1534D6-8190-4B5E-BC60-4AE04E3FB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3D5FE1-6A64-4FCE-A98C-03BC8FFB05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3953FC-F59B-4409-BCDA-47CC6FF995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3</cp:revision>
  <dcterms:created xsi:type="dcterms:W3CDTF">2020-03-09T05:54:00Z</dcterms:created>
  <dcterms:modified xsi:type="dcterms:W3CDTF">2020-03-09T05:55:00Z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