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892B" w14:textId="40D42E25" w:rsidR="00D90E36" w:rsidRDefault="00093C7E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Patient Safety and Quality Advisory Committee Subcommittee</w:t>
      </w:r>
      <w:r w:rsidR="00233FF9">
        <w:rPr>
          <w:sz w:val="36"/>
        </w:rPr>
        <w:t xml:space="preserve">s </w:t>
      </w:r>
    </w:p>
    <w:p w14:paraId="1B20826C" w14:textId="2B2A803E" w:rsidR="007A67B5" w:rsidRDefault="00233FF9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F151DE">
        <w:rPr>
          <w:sz w:val="36"/>
        </w:rPr>
        <w:t xml:space="preserve">(Indicators, </w:t>
      </w:r>
      <w:r w:rsidR="00093C7E">
        <w:rPr>
          <w:sz w:val="36"/>
        </w:rPr>
        <w:t>E-health</w:t>
      </w:r>
      <w:r w:rsidR="00F151DE">
        <w:rPr>
          <w:sz w:val="36"/>
        </w:rPr>
        <w:t xml:space="preserve"> or </w:t>
      </w:r>
      <w:r w:rsidR="00093C7E">
        <w:rPr>
          <w:sz w:val="36"/>
        </w:rPr>
        <w:t>Quality Improvement</w:t>
      </w:r>
      <w:r w:rsidR="00F151DE">
        <w:rPr>
          <w:sz w:val="36"/>
        </w:rPr>
        <w:t>)</w:t>
      </w:r>
      <w:r w:rsidR="00093C7E">
        <w:rPr>
          <w:sz w:val="36"/>
        </w:rPr>
        <w:t xml:space="preserve"> </w:t>
      </w:r>
    </w:p>
    <w:p w14:paraId="49381A63" w14:textId="222BD789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3125EB" w:rsidRPr="003125EB">
        <w:rPr>
          <w:rFonts w:asciiTheme="minorHAnsi" w:hAnsiTheme="minorHAnsi" w:cstheme="minorHAnsi"/>
          <w:color w:val="auto"/>
          <w:sz w:val="22"/>
        </w:rPr>
        <w:t xml:space="preserve">5pm Wednesday </w:t>
      </w:r>
      <w:r w:rsidR="00337C70">
        <w:rPr>
          <w:rFonts w:asciiTheme="minorHAnsi" w:hAnsiTheme="minorHAnsi" w:cstheme="minorHAnsi"/>
          <w:color w:val="auto"/>
          <w:sz w:val="22"/>
        </w:rPr>
        <w:t>14</w:t>
      </w:r>
      <w:r w:rsidR="003125EB" w:rsidRPr="003125EB">
        <w:rPr>
          <w:rFonts w:asciiTheme="minorHAnsi" w:hAnsiTheme="minorHAnsi" w:cstheme="minorHAnsi"/>
          <w:color w:val="auto"/>
          <w:sz w:val="22"/>
        </w:rPr>
        <w:t xml:space="preserve"> October 2020</w:t>
      </w:r>
    </w:p>
    <w:p w14:paraId="085927C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5F58A329" w14:textId="77777777" w:rsidR="00093C7E" w:rsidRDefault="00983B64" w:rsidP="0011708E">
      <w:pPr>
        <w:ind w:right="-755"/>
        <w:rPr>
          <w:bCs/>
        </w:rPr>
      </w:pPr>
      <w:hyperlink r:id="rId10" w:history="1">
        <w:r w:rsidR="00533B7B" w:rsidRPr="00533B7B">
          <w:rPr>
            <w:rStyle w:val="Hyperlink"/>
            <w:bCs/>
          </w:rPr>
          <w:t>Clinical Excellence Queensland</w:t>
        </w:r>
      </w:hyperlink>
      <w:r w:rsidR="00093C7E">
        <w:rPr>
          <w:bCs/>
        </w:rPr>
        <w:t xml:space="preserve"> are seeking consumers to be actively engaged in one of three </w:t>
      </w:r>
      <w:r w:rsidR="008628D3">
        <w:rPr>
          <w:bCs/>
        </w:rPr>
        <w:t>S</w:t>
      </w:r>
      <w:r w:rsidR="00093C7E">
        <w:rPr>
          <w:bCs/>
        </w:rPr>
        <w:t>ub</w:t>
      </w:r>
      <w:r w:rsidR="008628D3">
        <w:rPr>
          <w:bCs/>
        </w:rPr>
        <w:t>-c</w:t>
      </w:r>
      <w:r w:rsidR="00093C7E">
        <w:rPr>
          <w:bCs/>
        </w:rPr>
        <w:t>ommittees of the</w:t>
      </w:r>
      <w:r w:rsidR="008628D3">
        <w:rPr>
          <w:bCs/>
        </w:rPr>
        <w:t xml:space="preserve"> new established</w:t>
      </w:r>
      <w:r w:rsidR="00093C7E">
        <w:rPr>
          <w:bCs/>
        </w:rPr>
        <w:t xml:space="preserve"> Patient Safety and Quality Advisory Committee (PSQAC)</w:t>
      </w:r>
      <w:r w:rsidR="00F151DE">
        <w:rPr>
          <w:bCs/>
        </w:rPr>
        <w:t>.</w:t>
      </w:r>
    </w:p>
    <w:p w14:paraId="667844DE" w14:textId="77777777" w:rsidR="00F151DE" w:rsidRPr="00093C7E" w:rsidRDefault="00F151DE" w:rsidP="0011708E">
      <w:pPr>
        <w:ind w:right="-755"/>
        <w:rPr>
          <w:bCs/>
        </w:rPr>
      </w:pPr>
      <w:r>
        <w:rPr>
          <w:bCs/>
        </w:rPr>
        <w:t>These</w:t>
      </w:r>
      <w:r w:rsidR="008628D3">
        <w:rPr>
          <w:bCs/>
        </w:rPr>
        <w:t xml:space="preserve"> </w:t>
      </w:r>
      <w:r>
        <w:rPr>
          <w:bCs/>
        </w:rPr>
        <w:t>Sub</w:t>
      </w:r>
      <w:r w:rsidR="008628D3">
        <w:rPr>
          <w:bCs/>
        </w:rPr>
        <w:t>-C</w:t>
      </w:r>
      <w:r>
        <w:rPr>
          <w:bCs/>
        </w:rPr>
        <w:t>ommittees contribute to the PSQAC’s purpose of providing a system level forum for design and promulgation of systems for accessing and continually improving the safety and quality of care to patients and families.</w:t>
      </w:r>
    </w:p>
    <w:p w14:paraId="2EF6E4D9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50B61765" w14:textId="0425D174" w:rsidR="008628D3" w:rsidRPr="008628D3" w:rsidRDefault="008628D3" w:rsidP="00093C7E">
      <w:pPr>
        <w:pStyle w:val="BodyText"/>
        <w:ind w:left="0"/>
      </w:pPr>
      <w:r>
        <w:t>The following three Sub-Committees will all have two</w:t>
      </w:r>
      <w:r w:rsidR="008E17DC">
        <w:t xml:space="preserve"> (2)</w:t>
      </w:r>
      <w:r>
        <w:t xml:space="preserve"> consumer representatives and will additionally include relevant clinicians and </w:t>
      </w:r>
      <w:r w:rsidR="00040D6D">
        <w:t>department of health</w:t>
      </w:r>
      <w:r>
        <w:t xml:space="preserve"> staff</w:t>
      </w:r>
      <w:r w:rsidR="00040D6D">
        <w:t>:</w:t>
      </w:r>
    </w:p>
    <w:p w14:paraId="74AC713A" w14:textId="77777777" w:rsidR="008628D3" w:rsidRDefault="008628D3" w:rsidP="00093C7E">
      <w:pPr>
        <w:pStyle w:val="BodyText"/>
        <w:ind w:left="0"/>
        <w:rPr>
          <w:b/>
          <w:bCs/>
        </w:rPr>
      </w:pPr>
    </w:p>
    <w:p w14:paraId="1680C1B9" w14:textId="77777777" w:rsidR="00F151DE" w:rsidRDefault="00F151DE" w:rsidP="00093C7E">
      <w:pPr>
        <w:pStyle w:val="BodyText"/>
        <w:ind w:left="0"/>
      </w:pPr>
      <w:r w:rsidRPr="00093C7E">
        <w:rPr>
          <w:b/>
          <w:bCs/>
        </w:rPr>
        <w:t>Healthcare Safety and Quality Indicator Sub</w:t>
      </w:r>
      <w:r>
        <w:rPr>
          <w:b/>
          <w:bCs/>
        </w:rPr>
        <w:t>-</w:t>
      </w:r>
      <w:r w:rsidRPr="00093C7E">
        <w:rPr>
          <w:b/>
          <w:bCs/>
        </w:rPr>
        <w:t>Committee (HSQISC)</w:t>
      </w:r>
      <w:r>
        <w:t xml:space="preserve"> </w:t>
      </w:r>
    </w:p>
    <w:p w14:paraId="64948F3A" w14:textId="77777777" w:rsidR="00093C7E" w:rsidRDefault="00F151DE" w:rsidP="00093C7E">
      <w:pPr>
        <w:pStyle w:val="BodyText"/>
        <w:ind w:left="0"/>
        <w:rPr>
          <w:lang w:val="en-AU"/>
        </w:rPr>
      </w:pPr>
      <w:r>
        <w:t xml:space="preserve">This HSIQSC will </w:t>
      </w:r>
      <w:r w:rsidR="00093C7E">
        <w:t xml:space="preserve">provide advice and guidance to the PSQAC in </w:t>
      </w:r>
      <w:r w:rsidR="00093C7E" w:rsidRPr="00D815FF">
        <w:t>defin</w:t>
      </w:r>
      <w:r w:rsidR="00093C7E">
        <w:t>ing</w:t>
      </w:r>
      <w:r w:rsidR="00093C7E" w:rsidRPr="00D815FF">
        <w:t xml:space="preserve"> </w:t>
      </w:r>
      <w:r w:rsidR="00093C7E" w:rsidRPr="00D815FF">
        <w:rPr>
          <w:lang w:val="en-AU"/>
        </w:rPr>
        <w:t xml:space="preserve">key system domains, measures and indicators of healthcare safety and quality and </w:t>
      </w:r>
      <w:r w:rsidR="00093C7E" w:rsidRPr="00093C7E">
        <w:rPr>
          <w:lang w:val="en-AU"/>
        </w:rPr>
        <w:t>recommend systems for reporting of these</w:t>
      </w:r>
      <w:r w:rsidR="00093C7E" w:rsidRPr="00D815FF">
        <w:rPr>
          <w:lang w:val="en-AU"/>
        </w:rPr>
        <w:t xml:space="preserve"> indicators to relevant stakeholders. </w:t>
      </w:r>
    </w:p>
    <w:p w14:paraId="324786AD" w14:textId="77777777" w:rsidR="00F151DE" w:rsidRDefault="00F151DE" w:rsidP="00093C7E">
      <w:pPr>
        <w:pStyle w:val="BodyText"/>
        <w:ind w:left="0"/>
        <w:rPr>
          <w:lang w:val="en-AU"/>
        </w:rPr>
      </w:pPr>
    </w:p>
    <w:p w14:paraId="7D06762F" w14:textId="77777777" w:rsidR="00093C7E" w:rsidRPr="00F151DE" w:rsidRDefault="00F151DE" w:rsidP="00093C7E">
      <w:pPr>
        <w:pStyle w:val="BodyText"/>
        <w:ind w:left="0"/>
        <w:rPr>
          <w:b/>
          <w:bCs/>
        </w:rPr>
      </w:pPr>
      <w:r w:rsidRPr="00F151DE">
        <w:rPr>
          <w:b/>
          <w:bCs/>
        </w:rPr>
        <w:t>eHealth Linkage Sub</w:t>
      </w:r>
      <w:r>
        <w:rPr>
          <w:b/>
          <w:bCs/>
        </w:rPr>
        <w:t>-</w:t>
      </w:r>
      <w:r w:rsidRPr="00F151DE">
        <w:rPr>
          <w:b/>
          <w:bCs/>
        </w:rPr>
        <w:t xml:space="preserve">Committee </w:t>
      </w:r>
      <w:r>
        <w:rPr>
          <w:b/>
          <w:bCs/>
        </w:rPr>
        <w:t>(</w:t>
      </w:r>
      <w:proofErr w:type="spellStart"/>
      <w:r>
        <w:rPr>
          <w:b/>
          <w:bCs/>
        </w:rPr>
        <w:t>eHLSC</w:t>
      </w:r>
      <w:proofErr w:type="spellEnd"/>
      <w:r>
        <w:rPr>
          <w:b/>
          <w:bCs/>
        </w:rPr>
        <w:t>)</w:t>
      </w:r>
    </w:p>
    <w:p w14:paraId="7BF0D305" w14:textId="77777777" w:rsidR="00093C7E" w:rsidRPr="00862B10" w:rsidRDefault="00093C7E" w:rsidP="009E2159">
      <w:pPr>
        <w:pStyle w:val="BodyText"/>
        <w:ind w:left="0"/>
      </w:pPr>
      <w:r>
        <w:t>The</w:t>
      </w:r>
      <w:r w:rsidR="00F151DE">
        <w:t xml:space="preserve"> </w:t>
      </w:r>
      <w:proofErr w:type="spellStart"/>
      <w:r w:rsidR="00F151DE">
        <w:t>e</w:t>
      </w:r>
      <w:r>
        <w:t>HLSC</w:t>
      </w:r>
      <w:proofErr w:type="spellEnd"/>
      <w:r>
        <w:t xml:space="preserve"> will provide expertise and advice to the PSQAC in relation to the governance of clinical and non-clinical systems to improve and maintain the quality of care provided across the clinical setting.</w:t>
      </w:r>
      <w:r w:rsidR="009E2159">
        <w:t xml:space="preserve"> It will f</w:t>
      </w:r>
      <w:r>
        <w:t xml:space="preserve">oster engagement with eHealth Queensland to ensure patient safety and quality is forefront in planning, </w:t>
      </w:r>
      <w:proofErr w:type="spellStart"/>
      <w:r>
        <w:t>prioritising</w:t>
      </w:r>
      <w:proofErr w:type="spellEnd"/>
      <w:r>
        <w:t xml:space="preserve"> and implementing Queensland Health’s digital agenda. </w:t>
      </w:r>
    </w:p>
    <w:p w14:paraId="60DC6106" w14:textId="77777777" w:rsidR="008628D3" w:rsidRDefault="008628D3" w:rsidP="00F151DE">
      <w:pPr>
        <w:pStyle w:val="BodyText"/>
        <w:ind w:left="0"/>
        <w:rPr>
          <w:b/>
          <w:bCs/>
        </w:rPr>
      </w:pPr>
    </w:p>
    <w:p w14:paraId="018306EA" w14:textId="77777777" w:rsidR="00F151DE" w:rsidRPr="00F151DE" w:rsidRDefault="00F151DE" w:rsidP="00F151DE">
      <w:pPr>
        <w:pStyle w:val="BodyText"/>
        <w:ind w:left="0"/>
        <w:rPr>
          <w:b/>
          <w:bCs/>
        </w:rPr>
      </w:pPr>
      <w:r w:rsidRPr="00F151DE">
        <w:rPr>
          <w:b/>
          <w:bCs/>
        </w:rPr>
        <w:t xml:space="preserve">Practice Improvement </w:t>
      </w:r>
      <w:r>
        <w:rPr>
          <w:b/>
          <w:bCs/>
        </w:rPr>
        <w:t>S</w:t>
      </w:r>
      <w:r w:rsidRPr="00F151DE">
        <w:rPr>
          <w:b/>
          <w:bCs/>
        </w:rPr>
        <w:t>ub-</w:t>
      </w:r>
      <w:r>
        <w:rPr>
          <w:b/>
          <w:bCs/>
        </w:rPr>
        <w:t>C</w:t>
      </w:r>
      <w:r w:rsidRPr="00F151DE">
        <w:rPr>
          <w:b/>
          <w:bCs/>
        </w:rPr>
        <w:t>ommittee (PISC)</w:t>
      </w:r>
    </w:p>
    <w:p w14:paraId="2537B701" w14:textId="4BE62BA5" w:rsidR="008F115F" w:rsidRDefault="00093C7E" w:rsidP="008F115F">
      <w:r>
        <w:t>The PISC</w:t>
      </w:r>
      <w:r w:rsidR="00F151DE">
        <w:t xml:space="preserve"> will provide e</w:t>
      </w:r>
      <w:r>
        <w:t xml:space="preserve">xpertise and advice to the </w:t>
      </w:r>
      <w:r w:rsidR="00F151DE">
        <w:t>PS</w:t>
      </w:r>
      <w:r>
        <w:t>QAC in relation to immediate and longer-term solutions to improve and maintain the quality of care provided across the clinical setting.</w:t>
      </w:r>
      <w:r w:rsidR="00F151DE">
        <w:t xml:space="preserve"> It will i</w:t>
      </w:r>
      <w:r>
        <w:t xml:space="preserve">dentify best practice strategies </w:t>
      </w:r>
      <w:r w:rsidR="00040D6D">
        <w:t>to</w:t>
      </w:r>
      <w:r>
        <w:t xml:space="preserve"> deliver high-quality, safe, high-value healthcare</w:t>
      </w:r>
      <w:r w:rsidR="00040D6D">
        <w:t>;</w:t>
      </w:r>
      <w:r>
        <w:t xml:space="preserve"> </w:t>
      </w:r>
      <w:r w:rsidR="00F151DE">
        <w:t>d</w:t>
      </w:r>
      <w:r>
        <w:t xml:space="preserve">evelop, test, and share tools and strategies to help implement what works to improve clinical </w:t>
      </w:r>
      <w:r w:rsidR="00040D6D">
        <w:t>practice; and it will</w:t>
      </w:r>
      <w:r>
        <w:t xml:space="preserve"> opportunity for consultation between a broad range of clinical, research and academic experts to support safety and quality of care to patients through clinical practice improvement.</w:t>
      </w:r>
      <w:r w:rsidR="00CE7BDA">
        <w:t xml:space="preserve"> </w:t>
      </w:r>
      <w:r w:rsidR="008F115F">
        <w:t>Find past</w:t>
      </w:r>
      <w:r w:rsidR="008F115F">
        <w:t xml:space="preserve"> examples here - </w:t>
      </w:r>
      <w:hyperlink r:id="rId11" w:history="1">
        <w:r w:rsidR="008F115F">
          <w:rPr>
            <w:rStyle w:val="Hyperlink"/>
          </w:rPr>
          <w:t>https://clinicalexcellence.qld.gov.au/improvement-exchange/find-pr</w:t>
        </w:r>
        <w:r w:rsidR="008F115F">
          <w:rPr>
            <w:rStyle w:val="Hyperlink"/>
          </w:rPr>
          <w:t>o</w:t>
        </w:r>
        <w:r w:rsidR="008F115F">
          <w:rPr>
            <w:rStyle w:val="Hyperlink"/>
          </w:rPr>
          <w:t>ject</w:t>
        </w:r>
      </w:hyperlink>
      <w:r w:rsidR="008F115F">
        <w:t xml:space="preserve"> </w:t>
      </w:r>
    </w:p>
    <w:p w14:paraId="2DE07AF7" w14:textId="65745F54" w:rsidR="00040D6D" w:rsidRDefault="00040D6D" w:rsidP="008F115F">
      <w:pPr>
        <w:pStyle w:val="BodyText"/>
        <w:ind w:left="0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br w:type="page"/>
      </w:r>
    </w:p>
    <w:p w14:paraId="17DA2BA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Role of the consumer</w:t>
      </w:r>
    </w:p>
    <w:p w14:paraId="16E32E32" w14:textId="29EC8BD0" w:rsidR="00040D6D" w:rsidRPr="00040D6D" w:rsidRDefault="007A67B5" w:rsidP="00192AB8">
      <w:pPr>
        <w:ind w:right="-755"/>
      </w:pPr>
      <w:r w:rsidRPr="00C65182">
        <w:t xml:space="preserve">The role of the successful applicant </w:t>
      </w:r>
      <w:r>
        <w:t xml:space="preserve">will be to attend </w:t>
      </w:r>
      <w:r w:rsidRPr="00C65182">
        <w:t xml:space="preserve">all </w:t>
      </w:r>
      <w:r w:rsidR="008628D3">
        <w:t>Sub-Committee</w:t>
      </w:r>
      <w:r>
        <w:t xml:space="preserve"> meetings</w:t>
      </w:r>
      <w:r w:rsidR="00040D6D">
        <w:t xml:space="preserve"> (of the specific Sub-Committee assigned)</w:t>
      </w:r>
      <w:r>
        <w:t xml:space="preserve"> and to a</w:t>
      </w:r>
      <w:r w:rsidRPr="00C65182">
        <w:t xml:space="preserve">ctively participate in all </w:t>
      </w:r>
      <w:r w:rsidR="008628D3">
        <w:t>Sub-</w:t>
      </w:r>
      <w:r w:rsidRPr="00C65182">
        <w:t xml:space="preserve">Committee activities such as </w:t>
      </w:r>
      <w:r>
        <w:t xml:space="preserve">pre-meeting reading, discussions, provision of feedback and advice. </w:t>
      </w:r>
    </w:p>
    <w:p w14:paraId="246FEEE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752D23B4" w14:textId="77777777" w:rsidR="005A08BE" w:rsidRDefault="005A08BE" w:rsidP="005A08BE">
      <w:pPr>
        <w:ind w:right="-755"/>
      </w:pPr>
      <w:r>
        <w:t xml:space="preserve">This opportunity would suit a consumer or </w:t>
      </w:r>
      <w:proofErr w:type="spellStart"/>
      <w:r>
        <w:t>carer</w:t>
      </w:r>
      <w:proofErr w:type="spellEnd"/>
      <w:r>
        <w:t xml:space="preserve"> representative with at least </w:t>
      </w:r>
      <w:r w:rsidR="00040D6D">
        <w:t>12</w:t>
      </w:r>
      <w:r>
        <w:t xml:space="preserve"> months’ committee experience, either at the</w:t>
      </w:r>
      <w:r w:rsidR="008628D3">
        <w:t xml:space="preserve"> Statewide or</w:t>
      </w:r>
      <w:r>
        <w:t xml:space="preserve"> Hospital and Health Service level. </w:t>
      </w:r>
    </w:p>
    <w:p w14:paraId="556B459F" w14:textId="4093F0E4" w:rsidR="00040D6D" w:rsidRPr="00040D6D" w:rsidRDefault="008628D3" w:rsidP="00192AB8">
      <w:pPr>
        <w:ind w:right="-755"/>
      </w:pPr>
      <w:r>
        <w:t xml:space="preserve">Whilst not essential, preference will be given to consumers with experience in </w:t>
      </w:r>
      <w:r w:rsidR="00040D6D">
        <w:t xml:space="preserve">the </w:t>
      </w:r>
      <w:r>
        <w:t xml:space="preserve">topic areas of the three Sub-Committees. </w:t>
      </w:r>
    </w:p>
    <w:p w14:paraId="0F5AC22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7D6058A" w14:textId="77777777" w:rsidR="005D726A" w:rsidRDefault="008628D3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33B7B">
        <w:rPr>
          <w:bCs/>
        </w:rPr>
        <w:t xml:space="preserve">The Sub-Committees will meet </w:t>
      </w:r>
      <w:r w:rsidR="00533B7B">
        <w:rPr>
          <w:bCs/>
        </w:rPr>
        <w:t>quarterly via Microsoft Teams</w:t>
      </w:r>
      <w:r w:rsidRPr="00533B7B">
        <w:rPr>
          <w:bCs/>
        </w:rPr>
        <w:t xml:space="preserve">. </w:t>
      </w:r>
    </w:p>
    <w:p w14:paraId="589F56A6" w14:textId="77777777" w:rsidR="005D726A" w:rsidRDefault="005D726A" w:rsidP="007A67B5">
      <w:pPr>
        <w:autoSpaceDE w:val="0"/>
        <w:autoSpaceDN w:val="0"/>
        <w:adjustRightInd w:val="0"/>
        <w:spacing w:after="120" w:line="240" w:lineRule="auto"/>
      </w:pPr>
    </w:p>
    <w:p w14:paraId="73CBFE23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38386238" w14:textId="77D49C2D" w:rsidR="007555CB" w:rsidRPr="00DE276A" w:rsidRDefault="007A67B5" w:rsidP="007A67B5">
      <w:r w:rsidRPr="00DE276A">
        <w:t xml:space="preserve">Consumers will be remunerated for their time in line with </w:t>
      </w:r>
      <w:hyperlink r:id="rId12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>Parking and travel expenses will be covered</w:t>
      </w:r>
      <w:r w:rsidR="00533B7B">
        <w:t xml:space="preserve"> if physical attendance at a meeting is required by all members</w:t>
      </w:r>
      <w:r>
        <w:t xml:space="preserve">. </w:t>
      </w:r>
    </w:p>
    <w:p w14:paraId="29C9CA54" w14:textId="77777777" w:rsidR="00040D6D" w:rsidRPr="00040D6D" w:rsidRDefault="00040D6D" w:rsidP="00040D6D">
      <w:pPr>
        <w:autoSpaceDE w:val="0"/>
        <w:autoSpaceDN w:val="0"/>
        <w:adjustRightInd w:val="0"/>
        <w:spacing w:after="120" w:line="240" w:lineRule="auto"/>
      </w:pPr>
    </w:p>
    <w:p w14:paraId="3D63CC5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38A3C914" w14:textId="78447FA2" w:rsidR="007A67B5" w:rsidRPr="003125EB" w:rsidRDefault="007A67B5" w:rsidP="007A67B5">
      <w:pPr>
        <w:rPr>
          <w:b/>
          <w:bCs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3125EB">
        <w:rPr>
          <w:rStyle w:val="Hyperlink"/>
          <w:b/>
          <w:bCs/>
          <w:color w:val="auto"/>
          <w:u w:val="none"/>
        </w:rPr>
        <w:t xml:space="preserve">by </w:t>
      </w:r>
      <w:r w:rsidR="003125EB" w:rsidRPr="003125EB">
        <w:rPr>
          <w:rStyle w:val="Hyperlink"/>
          <w:b/>
          <w:bCs/>
          <w:color w:val="auto"/>
          <w:u w:val="none"/>
        </w:rPr>
        <w:t xml:space="preserve">5pm Wednesday </w:t>
      </w:r>
      <w:r w:rsidR="00533B7B" w:rsidRPr="003125EB">
        <w:rPr>
          <w:rStyle w:val="Hyperlink"/>
          <w:b/>
          <w:bCs/>
          <w:color w:val="auto"/>
          <w:u w:val="none"/>
        </w:rPr>
        <w:t>7 October 2020.</w:t>
      </w:r>
      <w:r w:rsidRPr="003125EB">
        <w:rPr>
          <w:rStyle w:val="Hyperlink"/>
          <w:b/>
          <w:bCs/>
          <w:color w:val="auto"/>
        </w:rPr>
        <w:t xml:space="preserve"> </w:t>
      </w:r>
    </w:p>
    <w:p w14:paraId="7E65CE11" w14:textId="77777777" w:rsidR="007A67B5" w:rsidRDefault="007A67B5" w:rsidP="007A67B5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229F5F29" w14:textId="77777777" w:rsidR="00533B7B" w:rsidRDefault="00533B7B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57125A78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76259EBC" w14:textId="77777777" w:rsidR="00947678" w:rsidRPr="00996C71" w:rsidRDefault="00533B7B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Patient Safety and Quality Advisory Committee Sub-Committee</w:t>
      </w:r>
    </w:p>
    <w:p w14:paraId="1C4776C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7CA47A1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CECE7B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378196F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018972E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108B97E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6C0E082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0719005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FAEAECD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0B74B94B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17F52C2B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33AC30C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FD752B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D71A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74DE39D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221F6F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6C0C688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3312D41E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746061FB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309BC74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338DA9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727A17D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666AF3D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3018E76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673318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C3F6487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47FE3260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0652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4BE3E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311C8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E2DE1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2CCE8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BB4A7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7DDF6031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7D7A376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54AC5125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1B1D37A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4E0AE3C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2D06DCF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11159FE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71B63D29" w14:textId="60A4EC2C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2054E0B" w14:textId="108FD1B8" w:rsidR="00F4318C" w:rsidRDefault="00F4318C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86D2B86" w14:textId="0F2BAFEA" w:rsidR="00F4318C" w:rsidRDefault="00F4318C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A085DC8" w14:textId="77777777" w:rsidR="00F4318C" w:rsidRDefault="00F4318C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7555091" w14:textId="4E0276DB" w:rsidR="008012D5" w:rsidRPr="00F4318C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F96880C" w14:textId="63773B4B" w:rsidR="00F4318C" w:rsidRDefault="00F4318C" w:rsidP="00F4318C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702AAA93" w14:textId="2FDEACAF" w:rsidR="00305E27" w:rsidRDefault="00305E27" w:rsidP="00F4318C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0C9382FB" w14:textId="12147CA7" w:rsidR="00305E27" w:rsidRDefault="00305E27" w:rsidP="00F4318C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36FEBF40" w14:textId="77777777" w:rsidR="00305E27" w:rsidRPr="00480614" w:rsidRDefault="00305E27" w:rsidP="00F4318C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1F00C27D" w14:textId="77777777" w:rsidR="008012D5" w:rsidRPr="00567FA9" w:rsidRDefault="008012D5" w:rsidP="00553171">
      <w:pPr>
        <w:pStyle w:val="TableParagraph"/>
        <w:spacing w:before="118"/>
      </w:pPr>
    </w:p>
    <w:p w14:paraId="50074D53" w14:textId="77BAD97A" w:rsidR="00553171" w:rsidRPr="00257C31" w:rsidRDefault="00533B7B" w:rsidP="00257C31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533B7B">
        <w:rPr>
          <w:rFonts w:ascii="Calibri" w:eastAsia="Calibri" w:hAnsi="Calibri" w:cs="Calibri"/>
          <w:color w:val="auto"/>
          <w:sz w:val="22"/>
          <w:lang w:val="en-US"/>
        </w:rPr>
        <w:t xml:space="preserve">Please </w:t>
      </w:r>
      <w:r w:rsidR="00040D6D">
        <w:rPr>
          <w:rFonts w:ascii="Calibri" w:eastAsia="Calibri" w:hAnsi="Calibri" w:cs="Calibri"/>
          <w:color w:val="auto"/>
          <w:sz w:val="22"/>
          <w:lang w:val="en-US"/>
        </w:rPr>
        <w:t>indicate</w:t>
      </w:r>
      <w:r>
        <w:rPr>
          <w:rFonts w:ascii="Calibri" w:eastAsia="Calibri" w:hAnsi="Calibri" w:cs="Calibri"/>
          <w:color w:val="auto"/>
          <w:sz w:val="22"/>
          <w:lang w:val="en-US"/>
        </w:rPr>
        <w:t xml:space="preserve"> which Sub-Committees you are interested in and describe your interest and experience beside each (you can choose more than one!): </w:t>
      </w:r>
    </w:p>
    <w:p w14:paraId="432E4E02" w14:textId="77777777" w:rsidR="00533B7B" w:rsidRDefault="00533B7B" w:rsidP="00533B7B">
      <w:pPr>
        <w:pStyle w:val="BodyText"/>
        <w:ind w:left="0"/>
        <w:rPr>
          <w:b/>
          <w:bCs/>
        </w:rPr>
      </w:pPr>
    </w:p>
    <w:p w14:paraId="627368EF" w14:textId="77777777" w:rsidR="00533B7B" w:rsidRDefault="00533B7B" w:rsidP="00F4318C">
      <w:pPr>
        <w:pStyle w:val="BodyText"/>
        <w:numPr>
          <w:ilvl w:val="0"/>
          <w:numId w:val="11"/>
        </w:numPr>
      </w:pPr>
      <w:r w:rsidRPr="00093C7E">
        <w:rPr>
          <w:b/>
          <w:bCs/>
        </w:rPr>
        <w:t>Healthcare Safety and Quality Indicator Sub</w:t>
      </w:r>
      <w:r>
        <w:rPr>
          <w:b/>
          <w:bCs/>
        </w:rPr>
        <w:t>-</w:t>
      </w:r>
      <w:r w:rsidRPr="00093C7E">
        <w:rPr>
          <w:b/>
          <w:bCs/>
        </w:rPr>
        <w:t>Committee (HSQISC)</w:t>
      </w:r>
      <w:r>
        <w:t xml:space="preserve"> </w:t>
      </w:r>
    </w:p>
    <w:p w14:paraId="008D7A3C" w14:textId="77777777" w:rsidR="00533B7B" w:rsidRDefault="00533B7B" w:rsidP="00533B7B">
      <w:pPr>
        <w:pStyle w:val="BodyText"/>
        <w:ind w:left="0"/>
        <w:rPr>
          <w:lang w:val="en-AU"/>
        </w:rPr>
      </w:pPr>
    </w:p>
    <w:p w14:paraId="4E97085E" w14:textId="323B08F2" w:rsidR="00533B7B" w:rsidRDefault="00533B7B" w:rsidP="00533B7B">
      <w:pPr>
        <w:pStyle w:val="BodyText"/>
        <w:ind w:left="0"/>
        <w:rPr>
          <w:b/>
          <w:bCs/>
        </w:rPr>
      </w:pPr>
    </w:p>
    <w:p w14:paraId="1DD2E948" w14:textId="77777777" w:rsidR="00257C31" w:rsidRDefault="00257C31" w:rsidP="00533B7B">
      <w:pPr>
        <w:pStyle w:val="BodyText"/>
        <w:ind w:left="0"/>
        <w:rPr>
          <w:b/>
          <w:bCs/>
        </w:rPr>
      </w:pPr>
    </w:p>
    <w:p w14:paraId="1328DD50" w14:textId="77777777" w:rsidR="00533B7B" w:rsidRPr="00F151DE" w:rsidRDefault="00533B7B" w:rsidP="007E5958">
      <w:pPr>
        <w:pStyle w:val="BodyText"/>
        <w:numPr>
          <w:ilvl w:val="0"/>
          <w:numId w:val="11"/>
        </w:numPr>
        <w:rPr>
          <w:b/>
          <w:bCs/>
        </w:rPr>
      </w:pPr>
      <w:r w:rsidRPr="00F151DE">
        <w:rPr>
          <w:b/>
          <w:bCs/>
        </w:rPr>
        <w:t>eHealth Linkage Sub</w:t>
      </w:r>
      <w:r>
        <w:rPr>
          <w:b/>
          <w:bCs/>
        </w:rPr>
        <w:t>-</w:t>
      </w:r>
      <w:r w:rsidRPr="00F151DE">
        <w:rPr>
          <w:b/>
          <w:bCs/>
        </w:rPr>
        <w:t xml:space="preserve">Committee </w:t>
      </w:r>
      <w:r>
        <w:rPr>
          <w:b/>
          <w:bCs/>
        </w:rPr>
        <w:t>(</w:t>
      </w:r>
      <w:proofErr w:type="spellStart"/>
      <w:r>
        <w:rPr>
          <w:b/>
          <w:bCs/>
        </w:rPr>
        <w:t>eHLSC</w:t>
      </w:r>
      <w:proofErr w:type="spellEnd"/>
      <w:r>
        <w:rPr>
          <w:b/>
          <w:bCs/>
        </w:rPr>
        <w:t>)</w:t>
      </w:r>
    </w:p>
    <w:p w14:paraId="21BEF8DE" w14:textId="77777777" w:rsidR="00533B7B" w:rsidRDefault="00533B7B" w:rsidP="00533B7B">
      <w:pPr>
        <w:pStyle w:val="BodyText"/>
        <w:ind w:left="0"/>
        <w:rPr>
          <w:b/>
          <w:bCs/>
        </w:rPr>
      </w:pPr>
    </w:p>
    <w:p w14:paraId="365E15F8" w14:textId="56360C10" w:rsidR="00533B7B" w:rsidRDefault="00533B7B" w:rsidP="00533B7B">
      <w:pPr>
        <w:pStyle w:val="BodyText"/>
        <w:ind w:left="0"/>
        <w:rPr>
          <w:b/>
          <w:bCs/>
        </w:rPr>
      </w:pPr>
    </w:p>
    <w:p w14:paraId="7279ADA2" w14:textId="77777777" w:rsidR="00D90E36" w:rsidRDefault="00D90E36" w:rsidP="00533B7B">
      <w:pPr>
        <w:pStyle w:val="BodyText"/>
        <w:ind w:left="0"/>
        <w:rPr>
          <w:b/>
          <w:bCs/>
        </w:rPr>
      </w:pPr>
    </w:p>
    <w:p w14:paraId="527DA335" w14:textId="77777777" w:rsidR="00533B7B" w:rsidRPr="00F151DE" w:rsidRDefault="00533B7B" w:rsidP="007E5958">
      <w:pPr>
        <w:pStyle w:val="BodyText"/>
        <w:numPr>
          <w:ilvl w:val="0"/>
          <w:numId w:val="11"/>
        </w:numPr>
        <w:rPr>
          <w:b/>
          <w:bCs/>
        </w:rPr>
      </w:pPr>
      <w:r w:rsidRPr="00F151DE">
        <w:rPr>
          <w:b/>
          <w:bCs/>
        </w:rPr>
        <w:t xml:space="preserve">Practice Improvement </w:t>
      </w:r>
      <w:r>
        <w:rPr>
          <w:b/>
          <w:bCs/>
        </w:rPr>
        <w:t>S</w:t>
      </w:r>
      <w:r w:rsidRPr="00F151DE">
        <w:rPr>
          <w:b/>
          <w:bCs/>
        </w:rPr>
        <w:t>ub-</w:t>
      </w:r>
      <w:r>
        <w:rPr>
          <w:b/>
          <w:bCs/>
        </w:rPr>
        <w:t>C</w:t>
      </w:r>
      <w:r w:rsidRPr="00F151DE">
        <w:rPr>
          <w:b/>
          <w:bCs/>
        </w:rPr>
        <w:t>ommittee (PISC)</w:t>
      </w:r>
    </w:p>
    <w:p w14:paraId="38EB1979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E3CFC0B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749DF79A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6B30C55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90F276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6568101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643ECCA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83DEB4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A77B6A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DA6A618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D5A5" w14:textId="77777777" w:rsidR="00983B64" w:rsidRDefault="00983B64" w:rsidP="007B1118">
      <w:pPr>
        <w:spacing w:after="0" w:line="240" w:lineRule="auto"/>
      </w:pPr>
      <w:r>
        <w:separator/>
      </w:r>
    </w:p>
  </w:endnote>
  <w:endnote w:type="continuationSeparator" w:id="0">
    <w:p w14:paraId="1FBAC01F" w14:textId="77777777" w:rsidR="00983B64" w:rsidRDefault="00983B64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5EB6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66906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1A9B" w14:textId="77777777" w:rsidR="00983B64" w:rsidRDefault="00983B64" w:rsidP="007B1118">
      <w:pPr>
        <w:spacing w:after="0" w:line="240" w:lineRule="auto"/>
      </w:pPr>
      <w:r>
        <w:separator/>
      </w:r>
    </w:p>
  </w:footnote>
  <w:footnote w:type="continuationSeparator" w:id="0">
    <w:p w14:paraId="7976E8E2" w14:textId="77777777" w:rsidR="00983B64" w:rsidRDefault="00983B64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0438D0EA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69B9492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57A52BAF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12B34FC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0407D2D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B315F1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01B053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5ADCD192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7689C4B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173C0A2C" wp14:editId="755F079B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1E4BBEA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460B8E3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CCE"/>
    <w:multiLevelType w:val="hybridMultilevel"/>
    <w:tmpl w:val="EFD43D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7C88"/>
    <w:multiLevelType w:val="hybridMultilevel"/>
    <w:tmpl w:val="9094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05E86"/>
    <w:multiLevelType w:val="hybridMultilevel"/>
    <w:tmpl w:val="EC46C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C141E8"/>
    <w:multiLevelType w:val="hybridMultilevel"/>
    <w:tmpl w:val="8D86C05A"/>
    <w:lvl w:ilvl="0" w:tplc="DEDAF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40D6D"/>
    <w:rsid w:val="000504A0"/>
    <w:rsid w:val="00067FDB"/>
    <w:rsid w:val="00077CBC"/>
    <w:rsid w:val="00093C7E"/>
    <w:rsid w:val="000A1C45"/>
    <w:rsid w:val="000A6D5A"/>
    <w:rsid w:val="0011708E"/>
    <w:rsid w:val="00192AB8"/>
    <w:rsid w:val="001A491C"/>
    <w:rsid w:val="00233FF9"/>
    <w:rsid w:val="00257C31"/>
    <w:rsid w:val="00305E27"/>
    <w:rsid w:val="003125EB"/>
    <w:rsid w:val="00337C70"/>
    <w:rsid w:val="00341D41"/>
    <w:rsid w:val="003F4436"/>
    <w:rsid w:val="00441807"/>
    <w:rsid w:val="00470534"/>
    <w:rsid w:val="00475D15"/>
    <w:rsid w:val="00480614"/>
    <w:rsid w:val="00493227"/>
    <w:rsid w:val="004F2068"/>
    <w:rsid w:val="00525CBB"/>
    <w:rsid w:val="00533B7B"/>
    <w:rsid w:val="00537C4D"/>
    <w:rsid w:val="00553171"/>
    <w:rsid w:val="00567FA9"/>
    <w:rsid w:val="005A08BE"/>
    <w:rsid w:val="005B42FD"/>
    <w:rsid w:val="005C728F"/>
    <w:rsid w:val="005D726A"/>
    <w:rsid w:val="006E358B"/>
    <w:rsid w:val="00715183"/>
    <w:rsid w:val="0075352C"/>
    <w:rsid w:val="007555CB"/>
    <w:rsid w:val="007A67B5"/>
    <w:rsid w:val="007B1118"/>
    <w:rsid w:val="007B7AC0"/>
    <w:rsid w:val="007E2D3C"/>
    <w:rsid w:val="007E5958"/>
    <w:rsid w:val="008012D5"/>
    <w:rsid w:val="008628D3"/>
    <w:rsid w:val="008A7949"/>
    <w:rsid w:val="008C3230"/>
    <w:rsid w:val="008E17DC"/>
    <w:rsid w:val="008F115F"/>
    <w:rsid w:val="00947678"/>
    <w:rsid w:val="00953EBE"/>
    <w:rsid w:val="00983B64"/>
    <w:rsid w:val="00996C71"/>
    <w:rsid w:val="009D66F5"/>
    <w:rsid w:val="009E2159"/>
    <w:rsid w:val="00A81131"/>
    <w:rsid w:val="00A83487"/>
    <w:rsid w:val="00AD5F28"/>
    <w:rsid w:val="00AD7DF8"/>
    <w:rsid w:val="00AF4875"/>
    <w:rsid w:val="00B01FEF"/>
    <w:rsid w:val="00B75112"/>
    <w:rsid w:val="00B85A22"/>
    <w:rsid w:val="00BC4847"/>
    <w:rsid w:val="00BE64FB"/>
    <w:rsid w:val="00C532E7"/>
    <w:rsid w:val="00C95682"/>
    <w:rsid w:val="00CE7BDA"/>
    <w:rsid w:val="00CF1D88"/>
    <w:rsid w:val="00CF307C"/>
    <w:rsid w:val="00D4405E"/>
    <w:rsid w:val="00D7586C"/>
    <w:rsid w:val="00D90E36"/>
    <w:rsid w:val="00DB3A31"/>
    <w:rsid w:val="00E04855"/>
    <w:rsid w:val="00E82D04"/>
    <w:rsid w:val="00F151DE"/>
    <w:rsid w:val="00F33C39"/>
    <w:rsid w:val="00F4318C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7870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excellence.qld.gov.au/improvement-exchange/find-projec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linicalexcellence.qld.gov.au/about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18</cp:revision>
  <dcterms:created xsi:type="dcterms:W3CDTF">2020-09-24T03:25:00Z</dcterms:created>
  <dcterms:modified xsi:type="dcterms:W3CDTF">2020-10-07T23:20:00Z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