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0E71" w14:textId="1FB78E5B" w:rsidR="00AD5F28" w:rsidRDefault="00CF307C" w:rsidP="00CF307C">
      <w:pPr>
        <w:pStyle w:val="StaffH1"/>
        <w:pBdr>
          <w:bottom w:val="single" w:sz="4" w:space="1" w:color="9B0552"/>
        </w:pBdr>
        <w:jc w:val="center"/>
        <w:rPr>
          <w:sz w:val="36"/>
        </w:rPr>
      </w:pPr>
      <w:r>
        <w:rPr>
          <w:sz w:val="36"/>
        </w:rPr>
        <w:t xml:space="preserve"> </w:t>
      </w:r>
      <w:r w:rsidR="000F02BA">
        <w:rPr>
          <w:sz w:val="36"/>
        </w:rPr>
        <w:t xml:space="preserve">Application for Genomics </w:t>
      </w:r>
      <w:r w:rsidR="00D142C1">
        <w:rPr>
          <w:sz w:val="36"/>
        </w:rPr>
        <w:t xml:space="preserve">Primary Care </w:t>
      </w:r>
      <w:r w:rsidR="000F02BA">
        <w:rPr>
          <w:sz w:val="36"/>
        </w:rPr>
        <w:t>Advisory Group Member</w:t>
      </w:r>
      <w:r w:rsidR="00AD5F28" w:rsidRPr="00AD5F28">
        <w:rPr>
          <w:sz w:val="36"/>
        </w:rPr>
        <w:t xml:space="preserve"> </w:t>
      </w:r>
    </w:p>
    <w:p w14:paraId="22AEAC5C" w14:textId="060A4E4B"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FC287E">
        <w:rPr>
          <w:rFonts w:asciiTheme="minorHAnsi" w:hAnsiTheme="minorHAnsi" w:cstheme="minorHAnsi"/>
          <w:color w:val="auto"/>
          <w:sz w:val="22"/>
        </w:rPr>
        <w:t>Thursday 1</w:t>
      </w:r>
      <w:r w:rsidR="00006FF3">
        <w:rPr>
          <w:rFonts w:asciiTheme="minorHAnsi" w:hAnsiTheme="minorHAnsi" w:cstheme="minorHAnsi"/>
          <w:color w:val="auto"/>
          <w:sz w:val="22"/>
        </w:rPr>
        <w:t>2</w:t>
      </w:r>
      <w:r w:rsidR="00006FF3" w:rsidRPr="00006FF3">
        <w:rPr>
          <w:rFonts w:asciiTheme="minorHAnsi" w:hAnsiTheme="minorHAnsi" w:cstheme="minorHAnsi"/>
          <w:color w:val="auto"/>
          <w:sz w:val="22"/>
          <w:vertAlign w:val="superscript"/>
        </w:rPr>
        <w:t>th</w:t>
      </w:r>
      <w:r w:rsidR="00006FF3">
        <w:rPr>
          <w:rFonts w:asciiTheme="minorHAnsi" w:hAnsiTheme="minorHAnsi" w:cstheme="minorHAnsi"/>
          <w:color w:val="auto"/>
          <w:sz w:val="22"/>
        </w:rPr>
        <w:t xml:space="preserve"> </w:t>
      </w:r>
      <w:r w:rsidR="00AE1DA6">
        <w:rPr>
          <w:rFonts w:asciiTheme="minorHAnsi" w:hAnsiTheme="minorHAnsi" w:cstheme="minorHAnsi"/>
          <w:color w:val="auto"/>
          <w:sz w:val="22"/>
        </w:rPr>
        <w:t>September 2019</w:t>
      </w:r>
    </w:p>
    <w:p w14:paraId="449452E0" w14:textId="3268D358" w:rsidR="00F96E7E" w:rsidRPr="002F3384" w:rsidRDefault="00415801" w:rsidP="0011708E">
      <w:pPr>
        <w:ind w:right="-755"/>
        <w:rPr>
          <w:bCs/>
          <w:color w:val="9B1D54"/>
          <w:sz w:val="28"/>
          <w:szCs w:val="28"/>
        </w:rPr>
      </w:pPr>
      <w:r>
        <w:rPr>
          <w:rStyle w:val="Hyperlink"/>
          <w:bCs/>
          <w:color w:val="9B1D54"/>
          <w:sz w:val="28"/>
          <w:szCs w:val="28"/>
          <w:u w:val="none"/>
        </w:rPr>
        <w:t>Primary Care – Genomics for GPs Initiative</w:t>
      </w:r>
    </w:p>
    <w:p w14:paraId="701882C5" w14:textId="075288F4" w:rsidR="00102F1F" w:rsidRPr="00B06084" w:rsidRDefault="00217156" w:rsidP="00102F1F">
      <w:pPr>
        <w:spacing w:after="4" w:line="254" w:lineRule="auto"/>
        <w:ind w:left="-15" w:right="14"/>
        <w:rPr>
          <w:rFonts w:eastAsia="Arial" w:cstheme="minorHAnsi"/>
          <w:b/>
          <w:bCs/>
          <w:color w:val="000000"/>
        </w:rPr>
      </w:pPr>
      <w:hyperlink r:id="rId11" w:history="1">
        <w:r w:rsidR="00F96E7E" w:rsidRPr="00B06084">
          <w:rPr>
            <w:rFonts w:eastAsia="Arial" w:cstheme="minorHAnsi"/>
            <w:b/>
            <w:bCs/>
            <w:color w:val="000000"/>
          </w:rPr>
          <w:t>CheckUP</w:t>
        </w:r>
      </w:hyperlink>
      <w:r w:rsidR="00F96E7E" w:rsidRPr="00B06084">
        <w:rPr>
          <w:rFonts w:eastAsia="Arial" w:cstheme="minorHAnsi"/>
          <w:b/>
          <w:bCs/>
          <w:color w:val="000000"/>
        </w:rPr>
        <w:t xml:space="preserve"> </w:t>
      </w:r>
      <w:r w:rsidR="00DC3A90" w:rsidRPr="00B06084">
        <w:rPr>
          <w:rFonts w:eastAsia="Arial" w:cstheme="minorHAnsi"/>
          <w:b/>
          <w:bCs/>
          <w:color w:val="000000"/>
        </w:rPr>
        <w:t xml:space="preserve">is </w:t>
      </w:r>
      <w:r w:rsidR="00377674" w:rsidRPr="00B06084">
        <w:rPr>
          <w:rFonts w:eastAsia="Arial" w:cstheme="minorHAnsi"/>
          <w:b/>
          <w:bCs/>
          <w:color w:val="000000"/>
        </w:rPr>
        <w:t>providing</w:t>
      </w:r>
      <w:r w:rsidR="00EE57F0">
        <w:rPr>
          <w:rFonts w:eastAsia="Arial" w:cstheme="minorHAnsi"/>
          <w:b/>
          <w:bCs/>
          <w:color w:val="000000"/>
        </w:rPr>
        <w:t xml:space="preserve"> a</w:t>
      </w:r>
      <w:r w:rsidR="00DC3A90" w:rsidRPr="00B06084">
        <w:rPr>
          <w:rFonts w:eastAsia="Arial" w:cstheme="minorHAnsi"/>
          <w:b/>
          <w:bCs/>
          <w:color w:val="000000"/>
        </w:rPr>
        <w:t xml:space="preserve"> health consumer </w:t>
      </w:r>
      <w:r w:rsidR="00377674" w:rsidRPr="00B06084">
        <w:rPr>
          <w:rFonts w:eastAsia="Arial" w:cstheme="minorHAnsi"/>
          <w:b/>
          <w:bCs/>
          <w:color w:val="000000"/>
        </w:rPr>
        <w:t>representative</w:t>
      </w:r>
      <w:r w:rsidR="002F3384" w:rsidRPr="00B06084">
        <w:rPr>
          <w:rFonts w:eastAsia="Arial" w:cstheme="minorHAnsi"/>
          <w:b/>
          <w:bCs/>
          <w:color w:val="000000"/>
        </w:rPr>
        <w:t xml:space="preserve"> with</w:t>
      </w:r>
      <w:r w:rsidR="00377674" w:rsidRPr="00B06084">
        <w:rPr>
          <w:rFonts w:eastAsia="Arial" w:cstheme="minorHAnsi"/>
          <w:b/>
          <w:bCs/>
          <w:color w:val="000000"/>
        </w:rPr>
        <w:t xml:space="preserve"> a unique opportunity to participate on an Advisory Group fo</w:t>
      </w:r>
      <w:r w:rsidR="001C07CC" w:rsidRPr="00B06084">
        <w:rPr>
          <w:rFonts w:eastAsia="Arial" w:cstheme="minorHAnsi"/>
          <w:b/>
          <w:bCs/>
          <w:color w:val="000000"/>
        </w:rPr>
        <w:t xml:space="preserve">r </w:t>
      </w:r>
      <w:r w:rsidR="0089406A" w:rsidRPr="00B06084">
        <w:rPr>
          <w:rFonts w:eastAsia="Arial" w:cstheme="minorHAnsi"/>
          <w:b/>
          <w:bCs/>
          <w:color w:val="000000"/>
        </w:rPr>
        <w:t xml:space="preserve">the Primary Care – Genomics for GPs </w:t>
      </w:r>
      <w:r w:rsidR="00D92B4F" w:rsidRPr="00B06084">
        <w:rPr>
          <w:rFonts w:eastAsia="Arial" w:cstheme="minorHAnsi"/>
          <w:b/>
          <w:bCs/>
          <w:color w:val="000000"/>
        </w:rPr>
        <w:t>I</w:t>
      </w:r>
      <w:r w:rsidR="0089406A" w:rsidRPr="00B06084">
        <w:rPr>
          <w:rFonts w:eastAsia="Arial" w:cstheme="minorHAnsi"/>
          <w:b/>
          <w:bCs/>
          <w:color w:val="000000"/>
        </w:rPr>
        <w:t>nitiative</w:t>
      </w:r>
      <w:r w:rsidR="00D92B4F" w:rsidRPr="00B06084">
        <w:rPr>
          <w:rFonts w:eastAsia="Arial" w:cstheme="minorHAnsi"/>
          <w:b/>
          <w:bCs/>
          <w:color w:val="000000"/>
        </w:rPr>
        <w:t xml:space="preserve"> (the Initiative). </w:t>
      </w:r>
    </w:p>
    <w:p w14:paraId="08BD5590" w14:textId="77777777" w:rsidR="00102F1F" w:rsidRDefault="00102F1F" w:rsidP="00102F1F">
      <w:pPr>
        <w:spacing w:after="4" w:line="254" w:lineRule="auto"/>
        <w:ind w:left="-15" w:right="14"/>
        <w:rPr>
          <w:rFonts w:ascii="Arial" w:eastAsia="Arial" w:hAnsi="Arial" w:cs="Arial"/>
          <w:color w:val="000000"/>
        </w:rPr>
      </w:pPr>
    </w:p>
    <w:p w14:paraId="62F57F35" w14:textId="4F910017" w:rsidR="00E768F4" w:rsidRPr="0068534E" w:rsidRDefault="00102F1F" w:rsidP="00102F1F">
      <w:pPr>
        <w:spacing w:after="4" w:line="254" w:lineRule="auto"/>
        <w:ind w:left="-15" w:right="14"/>
        <w:rPr>
          <w:rFonts w:eastAsia="Arial" w:cstheme="minorHAnsi"/>
          <w:color w:val="000000"/>
        </w:rPr>
      </w:pPr>
      <w:r w:rsidRPr="0068534E">
        <w:rPr>
          <w:rFonts w:eastAsia="Arial" w:cstheme="minorHAnsi"/>
          <w:color w:val="000000"/>
        </w:rPr>
        <w:t>C</w:t>
      </w:r>
      <w:r w:rsidR="00C80353" w:rsidRPr="0068534E">
        <w:rPr>
          <w:rFonts w:eastAsia="Arial" w:cstheme="minorHAnsi"/>
          <w:color w:val="000000"/>
        </w:rPr>
        <w:t xml:space="preserve">heckUP is a not-for-profit organization dedicated to better health </w:t>
      </w:r>
      <w:r w:rsidR="00DC348B" w:rsidRPr="0068534E">
        <w:rPr>
          <w:rFonts w:eastAsia="Arial" w:cstheme="minorHAnsi"/>
          <w:color w:val="000000"/>
        </w:rPr>
        <w:t xml:space="preserve">for people and communities who need it most. </w:t>
      </w:r>
    </w:p>
    <w:p w14:paraId="49BDB261" w14:textId="77777777" w:rsidR="00BF7FAC" w:rsidRPr="0068534E" w:rsidRDefault="00BF7FAC" w:rsidP="00E21D57">
      <w:pPr>
        <w:spacing w:after="4" w:line="254" w:lineRule="auto"/>
        <w:ind w:left="-15" w:right="14"/>
        <w:rPr>
          <w:rFonts w:eastAsia="Arial" w:cstheme="minorHAnsi"/>
          <w:color w:val="000000"/>
        </w:rPr>
      </w:pPr>
    </w:p>
    <w:p w14:paraId="74F2A0F1" w14:textId="54930AE7" w:rsidR="00BF7FAC" w:rsidRDefault="00DD75C9" w:rsidP="006F009F">
      <w:pPr>
        <w:rPr>
          <w:rFonts w:cstheme="minorHAnsi"/>
        </w:rPr>
      </w:pPr>
      <w:hyperlink r:id="rId12" w:history="1">
        <w:r w:rsidR="00E768F4" w:rsidRPr="00DD75C9">
          <w:rPr>
            <w:rStyle w:val="Hyperlink"/>
            <w:rFonts w:eastAsia="Arial" w:cstheme="minorHAnsi"/>
          </w:rPr>
          <w:t>CheckUP</w:t>
        </w:r>
      </w:hyperlink>
      <w:r w:rsidR="00E21D57" w:rsidRPr="0068534E">
        <w:rPr>
          <w:rFonts w:eastAsia="Arial" w:cstheme="minorHAnsi"/>
          <w:color w:val="000000"/>
        </w:rPr>
        <w:t xml:space="preserve"> (</w:t>
      </w:r>
      <w:hyperlink r:id="rId13" w:history="1">
        <w:r w:rsidR="00E21D57" w:rsidRPr="0068534E">
          <w:rPr>
            <w:rStyle w:val="Hyperlink"/>
            <w:rFonts w:eastAsia="Arial" w:cstheme="minorHAnsi"/>
          </w:rPr>
          <w:t>www.checkup.org.au</w:t>
        </w:r>
      </w:hyperlink>
      <w:r w:rsidR="00E21D57" w:rsidRPr="0068534E">
        <w:rPr>
          <w:rFonts w:eastAsia="Arial" w:cstheme="minorHAnsi"/>
          <w:color w:val="000000"/>
        </w:rPr>
        <w:t>)</w:t>
      </w:r>
      <w:r w:rsidR="00E768F4" w:rsidRPr="0068534E">
        <w:rPr>
          <w:rFonts w:eastAsia="Arial" w:cstheme="minorHAnsi"/>
          <w:color w:val="000000"/>
        </w:rPr>
        <w:t xml:space="preserve"> has been funded by </w:t>
      </w:r>
      <w:hyperlink r:id="rId14" w:history="1">
        <w:r w:rsidR="00E768F4" w:rsidRPr="00DD75C9">
          <w:rPr>
            <w:rStyle w:val="Hyperlink"/>
            <w:rFonts w:eastAsia="Arial" w:cstheme="minorHAnsi"/>
          </w:rPr>
          <w:t>Queensland Genomics</w:t>
        </w:r>
      </w:hyperlink>
      <w:r w:rsidR="00E768F4" w:rsidRPr="0068534E">
        <w:rPr>
          <w:rFonts w:eastAsia="Arial" w:cstheme="minorHAnsi"/>
          <w:color w:val="000000"/>
        </w:rPr>
        <w:t xml:space="preserve"> to undertake a</w:t>
      </w:r>
      <w:r w:rsidR="00BF7FAC" w:rsidRPr="0068534E">
        <w:rPr>
          <w:rFonts w:eastAsia="Arial" w:cstheme="minorHAnsi"/>
          <w:color w:val="000000"/>
        </w:rPr>
        <w:t xml:space="preserve"> </w:t>
      </w:r>
      <w:r w:rsidR="00E768F4" w:rsidRPr="00EE57F0">
        <w:rPr>
          <w:rFonts w:eastAsia="Arial" w:cstheme="minorHAnsi"/>
          <w:i/>
          <w:color w:val="000000"/>
        </w:rPr>
        <w:t>Primary Care – Genomics for GPs Initiative</w:t>
      </w:r>
      <w:r w:rsidR="00E768F4" w:rsidRPr="0068534E">
        <w:rPr>
          <w:rFonts w:eastAsia="Arial" w:cstheme="minorHAnsi"/>
          <w:color w:val="000000"/>
        </w:rPr>
        <w:t xml:space="preserve">. The overall </w:t>
      </w:r>
      <w:r w:rsidR="00E21D57" w:rsidRPr="0068534E">
        <w:rPr>
          <w:rFonts w:eastAsia="Arial" w:cstheme="minorHAnsi"/>
          <w:color w:val="000000"/>
        </w:rPr>
        <w:t>aim of the Initiative to is ensure</w:t>
      </w:r>
      <w:r w:rsidR="00E768F4" w:rsidRPr="0068534E">
        <w:rPr>
          <w:rFonts w:eastAsia="Arial" w:cstheme="minorHAnsi"/>
          <w:color w:val="000000"/>
        </w:rPr>
        <w:t xml:space="preserve"> the General Practice workforce can incorporate genomics into everyday healthcare by confidently and accurately using genomic information in clinical decision making.</w:t>
      </w:r>
      <w:r w:rsidR="006F009F" w:rsidRPr="0068534E">
        <w:rPr>
          <w:rFonts w:eastAsia="Arial" w:cstheme="minorHAnsi"/>
          <w:color w:val="000000"/>
        </w:rPr>
        <w:t xml:space="preserve"> CheckUP will work in partnership with Queensland Genomics, Queensland Primary Healthcare Network’s, </w:t>
      </w:r>
      <w:r w:rsidRPr="00DD75C9">
        <w:rPr>
          <w:rFonts w:eastAsia="Arial" w:cstheme="minorHAnsi"/>
          <w:color w:val="000000"/>
        </w:rPr>
        <w:t>The Royal Australian College of General Practitioners (RACGP)</w:t>
      </w:r>
      <w:r w:rsidR="006F009F" w:rsidRPr="0068534E">
        <w:rPr>
          <w:rFonts w:eastAsia="Arial" w:cstheme="minorHAnsi"/>
          <w:color w:val="000000"/>
        </w:rPr>
        <w:t xml:space="preserve"> and a Genomics Primary Care Advisory Group to develop a GP engagement strategy, develop RACGP accredited education modules and deliver 6 workshops across Queensland that specifically target General Practitioners</w:t>
      </w:r>
      <w:r w:rsidR="005F686F">
        <w:rPr>
          <w:rFonts w:eastAsia="Arial" w:cstheme="minorHAnsi"/>
          <w:color w:val="000000"/>
        </w:rPr>
        <w:t xml:space="preserve">. </w:t>
      </w:r>
      <w:r w:rsidR="00706302">
        <w:rPr>
          <w:rFonts w:eastAsia="Arial" w:cstheme="minorHAnsi"/>
          <w:color w:val="000000"/>
        </w:rPr>
        <w:t>Having</w:t>
      </w:r>
      <w:r w:rsidR="005F686F">
        <w:rPr>
          <w:rFonts w:eastAsia="Arial" w:cstheme="minorHAnsi"/>
          <w:color w:val="000000"/>
        </w:rPr>
        <w:t xml:space="preserve"> a consumer</w:t>
      </w:r>
      <w:r w:rsidR="00706302">
        <w:rPr>
          <w:rFonts w:eastAsia="Arial" w:cstheme="minorHAnsi"/>
          <w:color w:val="000000"/>
        </w:rPr>
        <w:t xml:space="preserve"> involved in this process </w:t>
      </w:r>
      <w:r w:rsidR="00CC0987">
        <w:rPr>
          <w:rFonts w:eastAsia="Arial" w:cstheme="minorHAnsi"/>
          <w:color w:val="000000"/>
        </w:rPr>
        <w:t>will be</w:t>
      </w:r>
      <w:r w:rsidR="00706302">
        <w:rPr>
          <w:rFonts w:eastAsia="Arial" w:cstheme="minorHAnsi"/>
          <w:color w:val="000000"/>
        </w:rPr>
        <w:t xml:space="preserve"> </w:t>
      </w:r>
      <w:r w:rsidR="00B94DE9">
        <w:rPr>
          <w:rFonts w:eastAsia="Arial" w:cstheme="minorHAnsi"/>
          <w:color w:val="000000"/>
        </w:rPr>
        <w:t xml:space="preserve">an </w:t>
      </w:r>
      <w:r w:rsidR="00706302">
        <w:rPr>
          <w:rFonts w:eastAsia="Arial" w:cstheme="minorHAnsi"/>
          <w:color w:val="000000"/>
        </w:rPr>
        <w:t xml:space="preserve">integral </w:t>
      </w:r>
      <w:r w:rsidR="00B94DE9">
        <w:rPr>
          <w:rFonts w:eastAsia="Arial" w:cstheme="minorHAnsi"/>
          <w:color w:val="000000"/>
        </w:rPr>
        <w:t xml:space="preserve">role </w:t>
      </w:r>
      <w:r w:rsidR="00CC0987">
        <w:rPr>
          <w:rFonts w:eastAsia="Arial" w:cstheme="minorHAnsi"/>
          <w:color w:val="000000"/>
        </w:rPr>
        <w:t xml:space="preserve">to </w:t>
      </w:r>
      <w:r w:rsidR="00706302">
        <w:rPr>
          <w:rFonts w:eastAsia="Arial" w:cstheme="minorHAnsi"/>
          <w:color w:val="000000"/>
        </w:rPr>
        <w:t xml:space="preserve">inform and input </w:t>
      </w:r>
      <w:r w:rsidR="00706302">
        <w:rPr>
          <w:rFonts w:cstheme="minorHAnsi"/>
        </w:rPr>
        <w:t xml:space="preserve">into this initiative. </w:t>
      </w:r>
    </w:p>
    <w:p w14:paraId="4CEBDF70" w14:textId="6ED0DF6B" w:rsidR="003E15C9" w:rsidRDefault="003E15C9" w:rsidP="005F686F">
      <w:pPr>
        <w:spacing w:after="4" w:line="254" w:lineRule="auto"/>
        <w:ind w:left="-15" w:right="14"/>
        <w:rPr>
          <w:rFonts w:eastAsia="Arial" w:cstheme="minorHAnsi"/>
          <w:color w:val="000000"/>
        </w:rPr>
      </w:pPr>
      <w:r w:rsidRPr="0068534E">
        <w:rPr>
          <w:rFonts w:eastAsia="Arial" w:cstheme="minorHAnsi"/>
          <w:color w:val="000000"/>
        </w:rPr>
        <w:t>Consumers accessing genetic testing themselves online or via research studies or specialist services is becoming increasingly common</w:t>
      </w:r>
      <w:r w:rsidR="00BB177C">
        <w:rPr>
          <w:rFonts w:eastAsia="Arial" w:cstheme="minorHAnsi"/>
          <w:color w:val="000000"/>
        </w:rPr>
        <w:t xml:space="preserve">. </w:t>
      </w:r>
      <w:r w:rsidRPr="0068534E">
        <w:rPr>
          <w:rFonts w:eastAsia="Arial" w:cstheme="minorHAnsi"/>
          <w:color w:val="000000"/>
        </w:rPr>
        <w:t xml:space="preserve"> </w:t>
      </w:r>
      <w:r w:rsidR="00BB177C">
        <w:rPr>
          <w:rFonts w:eastAsia="Arial" w:cstheme="minorHAnsi"/>
          <w:color w:val="000000"/>
        </w:rPr>
        <w:t>P</w:t>
      </w:r>
      <w:r w:rsidRPr="0068534E">
        <w:rPr>
          <w:rFonts w:eastAsia="Arial" w:cstheme="minorHAnsi"/>
          <w:color w:val="000000"/>
        </w:rPr>
        <w:t xml:space="preserve">rimary care will be the first port of call for people who have received results concerning themselves or their relatives. Improvements in </w:t>
      </w:r>
      <w:r w:rsidR="00BB177C">
        <w:rPr>
          <w:rFonts w:eastAsia="Arial" w:cstheme="minorHAnsi"/>
          <w:color w:val="000000"/>
        </w:rPr>
        <w:t>genomics</w:t>
      </w:r>
      <w:r w:rsidR="00EE57F0">
        <w:rPr>
          <w:rFonts w:eastAsia="Arial" w:cstheme="minorHAnsi"/>
          <w:color w:val="000000"/>
        </w:rPr>
        <w:t xml:space="preserve"> </w:t>
      </w:r>
      <w:r w:rsidRPr="0068534E">
        <w:rPr>
          <w:rFonts w:eastAsia="Arial" w:cstheme="minorHAnsi"/>
          <w:color w:val="000000"/>
        </w:rPr>
        <w:t>education are needed to prepare primary care providers for the impact of ongoing rapid advances in genomics.</w:t>
      </w:r>
    </w:p>
    <w:p w14:paraId="5E180C12" w14:textId="77777777" w:rsidR="005F686F" w:rsidRPr="005F686F" w:rsidRDefault="005F686F" w:rsidP="005F686F">
      <w:pPr>
        <w:spacing w:after="4" w:line="254" w:lineRule="auto"/>
        <w:ind w:left="-15" w:right="14"/>
        <w:rPr>
          <w:rFonts w:eastAsia="Arial" w:cstheme="minorHAnsi"/>
          <w:color w:val="000000"/>
        </w:rPr>
      </w:pPr>
    </w:p>
    <w:p w14:paraId="4DF73DFC" w14:textId="3D42F633" w:rsidR="003E15C9" w:rsidRPr="005F686F" w:rsidRDefault="003E15C9" w:rsidP="006F009F">
      <w:pPr>
        <w:rPr>
          <w:rFonts w:cstheme="minorHAnsi"/>
          <w:b/>
        </w:rPr>
      </w:pPr>
      <w:r w:rsidRPr="005F686F">
        <w:rPr>
          <w:rFonts w:cstheme="minorHAnsi"/>
          <w:b/>
        </w:rPr>
        <w:t xml:space="preserve">What is Genomics </w:t>
      </w:r>
    </w:p>
    <w:p w14:paraId="0AA4EF67" w14:textId="77777777" w:rsidR="006F009F" w:rsidRPr="0068534E" w:rsidRDefault="00BF7FAC" w:rsidP="006F009F">
      <w:pPr>
        <w:spacing w:after="4" w:line="254" w:lineRule="auto"/>
        <w:ind w:left="-15" w:right="14"/>
        <w:rPr>
          <w:rFonts w:eastAsia="Arial" w:cstheme="minorHAnsi"/>
          <w:color w:val="000000"/>
        </w:rPr>
      </w:pPr>
      <w:r w:rsidRPr="0068534E">
        <w:rPr>
          <w:rFonts w:eastAsia="Arial" w:cstheme="minorHAnsi"/>
          <w:color w:val="000000"/>
        </w:rPr>
        <w:t>Genomics studies the unique genetic make-up of individuals and is set to revolutionise healthcare. It will lead to better prevention, prediction and diagnosis of disease, and improved treatment, management and cures. Genomics is an important emerging field in medicine that have increasing relevance and impact in general practice. Genomics plays a role in many conditions seen in primary care everyday including rare diseases and chronic conditions such as cancer and diabetes.</w:t>
      </w:r>
    </w:p>
    <w:p w14:paraId="7F9BF17E" w14:textId="08D73F96" w:rsidR="00E21D57" w:rsidRPr="00E21D57" w:rsidRDefault="00E21D57" w:rsidP="00E21D57">
      <w:pPr>
        <w:spacing w:after="4" w:line="254" w:lineRule="auto"/>
        <w:ind w:left="-15" w:right="14"/>
        <w:rPr>
          <w:rFonts w:ascii="Arial" w:eastAsia="Arial" w:hAnsi="Arial" w:cs="Arial"/>
          <w:color w:val="000000"/>
        </w:rPr>
      </w:pPr>
    </w:p>
    <w:p w14:paraId="643BDEF3" w14:textId="77777777" w:rsidR="0011708E" w:rsidRP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35746FEA" w14:textId="0F8ECF3B" w:rsidR="002F3384" w:rsidRPr="0068534E" w:rsidRDefault="006F009F" w:rsidP="002F3384">
      <w:pPr>
        <w:spacing w:after="4" w:line="254" w:lineRule="auto"/>
        <w:ind w:left="-15" w:right="14"/>
        <w:rPr>
          <w:rFonts w:eastAsia="Arial" w:cstheme="minorHAnsi"/>
          <w:color w:val="000000"/>
        </w:rPr>
      </w:pPr>
      <w:r w:rsidRPr="0068534E">
        <w:rPr>
          <w:rFonts w:eastAsia="Arial" w:cstheme="minorHAnsi"/>
          <w:color w:val="000000"/>
        </w:rPr>
        <w:t>The key purpose of the Genomics Primary Care Advisory Group is to provide advice on the implementation of the GP engagement strategy and the content of the education modules.</w:t>
      </w:r>
    </w:p>
    <w:p w14:paraId="74B0D0B7" w14:textId="3E43E4DB" w:rsidR="00753AE4" w:rsidRPr="0068534E" w:rsidRDefault="00753AE4" w:rsidP="002F3384">
      <w:pPr>
        <w:spacing w:after="4" w:line="254" w:lineRule="auto"/>
        <w:ind w:left="-15" w:right="14"/>
        <w:rPr>
          <w:rFonts w:eastAsia="Arial" w:cstheme="minorHAnsi"/>
          <w:color w:val="000000"/>
        </w:rPr>
      </w:pPr>
    </w:p>
    <w:p w14:paraId="60DF7BEA" w14:textId="77777777" w:rsidR="00753AE4" w:rsidRPr="0068534E" w:rsidRDefault="00753AE4" w:rsidP="00753AE4">
      <w:pPr>
        <w:spacing w:after="4" w:line="254" w:lineRule="auto"/>
        <w:ind w:left="-15" w:right="14"/>
        <w:rPr>
          <w:rFonts w:eastAsia="Arial" w:cstheme="minorHAnsi"/>
          <w:color w:val="000000"/>
        </w:rPr>
      </w:pPr>
      <w:r w:rsidRPr="0068534E">
        <w:rPr>
          <w:rFonts w:eastAsia="Arial" w:cstheme="minorHAnsi"/>
          <w:color w:val="000000"/>
        </w:rPr>
        <w:t>The Advisory Group will:</w:t>
      </w:r>
    </w:p>
    <w:p w14:paraId="78A1AC6D" w14:textId="77777777" w:rsidR="00753AE4" w:rsidRPr="0068534E" w:rsidRDefault="00753AE4" w:rsidP="00753AE4">
      <w:pPr>
        <w:spacing w:after="4" w:line="254" w:lineRule="auto"/>
        <w:ind w:left="-15" w:right="14"/>
        <w:rPr>
          <w:rFonts w:eastAsia="Arial" w:cstheme="minorHAnsi"/>
          <w:color w:val="000000"/>
          <w:sz w:val="8"/>
          <w:szCs w:val="8"/>
        </w:rPr>
      </w:pPr>
    </w:p>
    <w:p w14:paraId="6D60CB6E" w14:textId="77777777" w:rsidR="00753AE4" w:rsidRPr="0068534E" w:rsidRDefault="00753AE4" w:rsidP="00753AE4">
      <w:pPr>
        <w:pStyle w:val="ListParagraph"/>
        <w:widowControl/>
        <w:numPr>
          <w:ilvl w:val="0"/>
          <w:numId w:val="8"/>
        </w:numPr>
        <w:spacing w:after="4" w:line="254" w:lineRule="auto"/>
        <w:ind w:right="14"/>
        <w:contextualSpacing/>
        <w:rPr>
          <w:rFonts w:asciiTheme="minorHAnsi" w:eastAsia="Arial" w:hAnsiTheme="minorHAnsi" w:cstheme="minorHAnsi"/>
          <w:color w:val="000000" w:themeColor="text1"/>
        </w:rPr>
      </w:pPr>
      <w:r w:rsidRPr="0068534E">
        <w:rPr>
          <w:rFonts w:asciiTheme="minorHAnsi" w:eastAsia="Arial" w:hAnsiTheme="minorHAnsi" w:cstheme="minorHAnsi"/>
          <w:color w:val="000000" w:themeColor="text1"/>
        </w:rPr>
        <w:lastRenderedPageBreak/>
        <w:t>Provide advice and feedback on the education modules developed for GPs.</w:t>
      </w:r>
    </w:p>
    <w:p w14:paraId="3569224A" w14:textId="77777777" w:rsidR="00753AE4" w:rsidRPr="0068534E" w:rsidRDefault="00753AE4" w:rsidP="00753AE4">
      <w:pPr>
        <w:pStyle w:val="ListParagraph"/>
        <w:widowControl/>
        <w:numPr>
          <w:ilvl w:val="0"/>
          <w:numId w:val="8"/>
        </w:numPr>
        <w:spacing w:after="4" w:line="254" w:lineRule="auto"/>
        <w:ind w:right="14"/>
        <w:contextualSpacing/>
        <w:rPr>
          <w:rFonts w:asciiTheme="minorHAnsi" w:eastAsia="Arial" w:hAnsiTheme="minorHAnsi" w:cstheme="minorHAnsi"/>
          <w:color w:val="000000" w:themeColor="text1"/>
        </w:rPr>
      </w:pPr>
      <w:r w:rsidRPr="0068534E">
        <w:rPr>
          <w:rFonts w:asciiTheme="minorHAnsi" w:eastAsia="Arial" w:hAnsiTheme="minorHAnsi" w:cstheme="minorHAnsi"/>
          <w:color w:val="000000" w:themeColor="text1"/>
        </w:rPr>
        <w:t xml:space="preserve">Provide advice on the roll-out of the GP training workshops. </w:t>
      </w:r>
    </w:p>
    <w:p w14:paraId="1D5536F1" w14:textId="77777777" w:rsidR="00753AE4" w:rsidRPr="0068534E" w:rsidRDefault="00753AE4" w:rsidP="00753AE4">
      <w:pPr>
        <w:pStyle w:val="ListParagraph"/>
        <w:widowControl/>
        <w:numPr>
          <w:ilvl w:val="0"/>
          <w:numId w:val="8"/>
        </w:numPr>
        <w:spacing w:after="4" w:line="254" w:lineRule="auto"/>
        <w:ind w:right="14"/>
        <w:contextualSpacing/>
        <w:rPr>
          <w:rFonts w:asciiTheme="minorHAnsi" w:eastAsiaTheme="minorHAnsi" w:hAnsiTheme="minorHAnsi" w:cstheme="minorBidi"/>
        </w:rPr>
      </w:pPr>
      <w:r w:rsidRPr="0068534E">
        <w:rPr>
          <w:rFonts w:asciiTheme="minorHAnsi" w:eastAsiaTheme="minorHAnsi" w:hAnsiTheme="minorHAnsi" w:cstheme="minorBidi"/>
        </w:rPr>
        <w:t>Review and provide feedback on the GP Engagement Strategy.</w:t>
      </w:r>
    </w:p>
    <w:p w14:paraId="69298F05" w14:textId="77777777" w:rsidR="00753AE4" w:rsidRPr="0068534E" w:rsidRDefault="00753AE4" w:rsidP="00753AE4">
      <w:pPr>
        <w:pStyle w:val="ListParagraph"/>
        <w:widowControl/>
        <w:numPr>
          <w:ilvl w:val="0"/>
          <w:numId w:val="8"/>
        </w:numPr>
        <w:spacing w:after="387" w:line="254" w:lineRule="auto"/>
        <w:ind w:right="14"/>
        <w:contextualSpacing/>
        <w:rPr>
          <w:rFonts w:asciiTheme="minorHAnsi" w:eastAsiaTheme="minorHAnsi" w:hAnsiTheme="minorHAnsi" w:cstheme="minorBidi"/>
        </w:rPr>
      </w:pPr>
      <w:r w:rsidRPr="0068534E">
        <w:rPr>
          <w:rFonts w:asciiTheme="minorHAnsi" w:eastAsiaTheme="minorHAnsi" w:hAnsiTheme="minorHAnsi" w:cstheme="minorBidi"/>
        </w:rPr>
        <w:t xml:space="preserve">Put forward ideas and proposals to further support the integration of Genomics in General Practice in the future. </w:t>
      </w:r>
    </w:p>
    <w:p w14:paraId="7BEA1CDA" w14:textId="06BA4C18" w:rsidR="006F009F" w:rsidRPr="0068534E" w:rsidRDefault="00753AE4" w:rsidP="00753AE4">
      <w:pPr>
        <w:pStyle w:val="ListParagraph"/>
        <w:widowControl/>
        <w:numPr>
          <w:ilvl w:val="0"/>
          <w:numId w:val="8"/>
        </w:numPr>
        <w:spacing w:after="387" w:line="254" w:lineRule="auto"/>
        <w:ind w:right="14"/>
        <w:contextualSpacing/>
        <w:rPr>
          <w:rFonts w:asciiTheme="minorHAnsi" w:eastAsiaTheme="minorHAnsi" w:hAnsiTheme="minorHAnsi" w:cstheme="minorBidi"/>
        </w:rPr>
      </w:pPr>
      <w:r w:rsidRPr="0068534E">
        <w:rPr>
          <w:rFonts w:asciiTheme="minorHAnsi" w:eastAsiaTheme="minorHAnsi" w:hAnsiTheme="minorHAnsi" w:cstheme="minorBidi"/>
        </w:rPr>
        <w:t>Provide advice to Queensland Genomics Project Steering Group as required.</w:t>
      </w:r>
    </w:p>
    <w:p w14:paraId="56A7CB58" w14:textId="3EB05E7A" w:rsidR="000A24CB" w:rsidRPr="0068534E" w:rsidRDefault="000A24CB" w:rsidP="000A24CB">
      <w:pPr>
        <w:tabs>
          <w:tab w:val="left" w:leader="underscore" w:pos="8931"/>
        </w:tabs>
      </w:pPr>
      <w:r w:rsidRPr="0068534E">
        <w:t xml:space="preserve">Membership </w:t>
      </w:r>
      <w:r w:rsidR="00102F1F" w:rsidRPr="0068534E">
        <w:t xml:space="preserve">of the Advisory Group will </w:t>
      </w:r>
      <w:r w:rsidRPr="0068534E">
        <w:t>include representation from:</w:t>
      </w:r>
    </w:p>
    <w:p w14:paraId="7E30D52B" w14:textId="77777777" w:rsidR="000A24CB" w:rsidRPr="0068534E" w:rsidRDefault="000A24CB" w:rsidP="000A24CB">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Queensland Genomics</w:t>
      </w:r>
    </w:p>
    <w:p w14:paraId="326EC989" w14:textId="77777777" w:rsidR="000A24CB" w:rsidRPr="0068534E" w:rsidRDefault="000A24CB" w:rsidP="000A24CB">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CheckUP</w:t>
      </w:r>
    </w:p>
    <w:p w14:paraId="5F364A6F" w14:textId="77777777" w:rsidR="000A24CB" w:rsidRPr="0068534E" w:rsidRDefault="000A24CB" w:rsidP="000A24CB">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General Practice</w:t>
      </w:r>
    </w:p>
    <w:p w14:paraId="40D270F8" w14:textId="2A318FCF" w:rsidR="000A24CB" w:rsidRPr="0068534E" w:rsidRDefault="000A24CB" w:rsidP="000A24CB">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Consumer Representative– Provided by Health Consumers Queensland</w:t>
      </w:r>
    </w:p>
    <w:p w14:paraId="6444C278" w14:textId="77777777" w:rsidR="000A24CB" w:rsidRPr="0068534E" w:rsidRDefault="000A24CB" w:rsidP="000A24CB">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Relevant Primary Health Networks</w:t>
      </w:r>
    </w:p>
    <w:p w14:paraId="3CE55068" w14:textId="77777777" w:rsidR="000A24CB" w:rsidRPr="0068534E" w:rsidRDefault="000A24CB" w:rsidP="000A24CB">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Relevant Divisions of General Practice</w:t>
      </w:r>
    </w:p>
    <w:p w14:paraId="0A7784BC" w14:textId="77D977BC" w:rsidR="0011708E" w:rsidRPr="0068534E" w:rsidRDefault="000A24CB" w:rsidP="004017AA">
      <w:pPr>
        <w:pStyle w:val="ListParagraph"/>
        <w:widowControl/>
        <w:numPr>
          <w:ilvl w:val="0"/>
          <w:numId w:val="7"/>
        </w:numPr>
        <w:tabs>
          <w:tab w:val="left" w:leader="underscore" w:pos="8931"/>
        </w:tabs>
        <w:spacing w:after="120" w:line="264" w:lineRule="auto"/>
        <w:contextualSpacing/>
        <w:rPr>
          <w:rFonts w:asciiTheme="minorHAnsi" w:eastAsiaTheme="minorHAnsi" w:hAnsiTheme="minorHAnsi" w:cstheme="minorBidi"/>
        </w:rPr>
      </w:pPr>
      <w:r w:rsidRPr="0068534E">
        <w:rPr>
          <w:rFonts w:asciiTheme="minorHAnsi" w:eastAsiaTheme="minorHAnsi" w:hAnsiTheme="minorHAnsi" w:cstheme="minorBidi"/>
        </w:rPr>
        <w:t>Other representatives as determined by Queensland Genomics</w:t>
      </w:r>
    </w:p>
    <w:p w14:paraId="090898C3" w14:textId="6B49CC98" w:rsidR="00BF7FAC" w:rsidRPr="004017AA" w:rsidRDefault="00BF7FAC" w:rsidP="004017AA">
      <w:pPr>
        <w:tabs>
          <w:tab w:val="left" w:leader="underscore" w:pos="8931"/>
        </w:tabs>
        <w:spacing w:after="120" w:line="264" w:lineRule="auto"/>
        <w:contextualSpacing/>
        <w:rPr>
          <w:rFonts w:ascii="Arial" w:eastAsia="Times New Roman" w:hAnsi="Arial" w:cs="Arial"/>
        </w:rPr>
      </w:pPr>
    </w:p>
    <w:p w14:paraId="262BD174"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02EC2458" w14:textId="4BDE06B1" w:rsidR="006F009F" w:rsidRPr="0068534E" w:rsidRDefault="00EE57F0" w:rsidP="006F009F">
      <w:r>
        <w:t>The consumer representative</w:t>
      </w:r>
      <w:r w:rsidR="0055091E">
        <w:t xml:space="preserve"> </w:t>
      </w:r>
      <w:r w:rsidR="006F009F" w:rsidRPr="0068534E">
        <w:t xml:space="preserve">on the Genomics Primary Care Advisory Group </w:t>
      </w:r>
      <w:r w:rsidR="00DE133B">
        <w:t>have</w:t>
      </w:r>
      <w:r w:rsidR="00DE133B" w:rsidRPr="0068534E">
        <w:t xml:space="preserve"> </w:t>
      </w:r>
      <w:r w:rsidR="006F009F" w:rsidRPr="0068534E">
        <w:t>the key role of adding</w:t>
      </w:r>
      <w:r>
        <w:t xml:space="preserve"> the</w:t>
      </w:r>
      <w:r w:rsidR="006F009F" w:rsidRPr="0068534E">
        <w:t xml:space="preserve"> consumer/patient perspective to the project. It is important that GPs have an understanding of genomics from a patient perspective so that genomic information is appropriately used in clinical decision making</w:t>
      </w:r>
      <w:r w:rsidR="0055091E">
        <w:t xml:space="preserve">, </w:t>
      </w:r>
      <w:r w:rsidR="00875835">
        <w:t>that informs</w:t>
      </w:r>
      <w:r w:rsidR="00600101">
        <w:t xml:space="preserve"> the consumer.</w:t>
      </w:r>
    </w:p>
    <w:p w14:paraId="2DCA2EBA" w14:textId="4899F325" w:rsidR="007A67B5" w:rsidRPr="0068534E" w:rsidRDefault="007A67B5" w:rsidP="007B55C3">
      <w:r w:rsidRPr="0068534E">
        <w:t xml:space="preserve">The successful applicant </w:t>
      </w:r>
      <w:r w:rsidR="00DE133B">
        <w:t>is</w:t>
      </w:r>
      <w:r w:rsidR="0055091E">
        <w:t xml:space="preserve"> required </w:t>
      </w:r>
      <w:r w:rsidRPr="0068534E">
        <w:t xml:space="preserve">to attend all </w:t>
      </w:r>
      <w:r w:rsidR="004A738F" w:rsidRPr="0068534E">
        <w:t>Advisory Group</w:t>
      </w:r>
      <w:r w:rsidRPr="0068534E">
        <w:t xml:space="preserve"> meetings and to actively participate in all activities such as pre-meeting reading, discussions, provision of feedback and advice. </w:t>
      </w:r>
    </w:p>
    <w:p w14:paraId="406F5855"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6F1EF232" w14:textId="17026927" w:rsidR="005D726A" w:rsidRPr="0068534E" w:rsidRDefault="005A08BE" w:rsidP="00902707">
      <w:r w:rsidRPr="0068534E">
        <w:t xml:space="preserve">This opportunity would suit a consumer representative with at least 6 months’ committee experience, either at the Hospital and Health Service, or Statewide level. </w:t>
      </w:r>
      <w:r w:rsidR="008955CD" w:rsidRPr="0068534E">
        <w:t>An understanding of genomics would be ideal for the consumer representative</w:t>
      </w:r>
      <w:r w:rsidR="0055091E">
        <w:t>. H</w:t>
      </w:r>
      <w:r w:rsidR="008955CD" w:rsidRPr="0068534E">
        <w:t>owever</w:t>
      </w:r>
      <w:r w:rsidR="0055091E">
        <w:t xml:space="preserve">, </w:t>
      </w:r>
      <w:r w:rsidR="008955CD" w:rsidRPr="0068534E">
        <w:t xml:space="preserve">a consumer with an interest would also be </w:t>
      </w:r>
      <w:r w:rsidR="0055091E">
        <w:t>suitable</w:t>
      </w:r>
      <w:r w:rsidR="0055091E" w:rsidRPr="0068534E">
        <w:t xml:space="preserve"> </w:t>
      </w:r>
      <w:r w:rsidR="008955CD" w:rsidRPr="0068534E">
        <w:t xml:space="preserve">as CheckUP will ensure </w:t>
      </w:r>
      <w:r w:rsidR="004A738F" w:rsidRPr="0068534E">
        <w:t>consumers</w:t>
      </w:r>
      <w:r w:rsidR="008955CD" w:rsidRPr="0068534E">
        <w:t xml:space="preserve"> receive the appropriate support to feel confident contributing to the project. </w:t>
      </w:r>
    </w:p>
    <w:p w14:paraId="113E64C6"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616F55A1" w14:textId="7B418323" w:rsidR="00006FF3" w:rsidRDefault="004F64F8" w:rsidP="0026138A">
      <w:r w:rsidRPr="0068534E">
        <w:t>Advisory Group members are asked to attend</w:t>
      </w:r>
      <w:r w:rsidR="00D60817">
        <w:t>/participate in</w:t>
      </w:r>
      <w:r w:rsidRPr="0068534E">
        <w:t xml:space="preserve"> up to three meetings which will be held quarterly. The first meeting will take place </w:t>
      </w:r>
      <w:r w:rsidR="00CE7B52">
        <w:t>in late September 2019 (date to be confirmed)</w:t>
      </w:r>
      <w:r w:rsidRPr="0068534E">
        <w:t xml:space="preserve"> with additional meeting dates to be scheduled. </w:t>
      </w:r>
      <w:r w:rsidR="00DC39F3" w:rsidRPr="0068534E">
        <w:t>Advisory Group meetings will be held at CheckUP, Level 2/36, Russell Street, South Brisbane.</w:t>
      </w:r>
      <w:r w:rsidR="00D60817">
        <w:t xml:space="preserve"> A face to face meeting</w:t>
      </w:r>
      <w:r w:rsidR="00006FF3">
        <w:t xml:space="preserve"> opportunity is available and travel </w:t>
      </w:r>
      <w:r w:rsidR="00D60817">
        <w:t>costs</w:t>
      </w:r>
      <w:r w:rsidR="00006FF3">
        <w:t xml:space="preserve"> will be covered for consumers who are based outside Brisbane</w:t>
      </w:r>
      <w:r w:rsidR="0055091E">
        <w:t>. H</w:t>
      </w:r>
      <w:r w:rsidR="00A23BC0">
        <w:t xml:space="preserve">owever, </w:t>
      </w:r>
      <w:r w:rsidR="00D60817">
        <w:t xml:space="preserve">there is </w:t>
      </w:r>
      <w:r w:rsidR="007E541A">
        <w:t>also an</w:t>
      </w:r>
      <w:r w:rsidR="00006FF3">
        <w:t xml:space="preserve"> option </w:t>
      </w:r>
      <w:r w:rsidR="00D60817">
        <w:t>to</w:t>
      </w:r>
      <w:r w:rsidR="00600101">
        <w:t xml:space="preserve"> dial in via</w:t>
      </w:r>
      <w:r w:rsidR="00A23BC0">
        <w:t xml:space="preserve"> </w:t>
      </w:r>
      <w:r w:rsidR="00006FF3">
        <w:t>teleconference</w:t>
      </w:r>
      <w:r w:rsidR="00600101">
        <w:t>,</w:t>
      </w:r>
      <w:r w:rsidR="00D60817">
        <w:t xml:space="preserve"> </w:t>
      </w:r>
      <w:r w:rsidR="007E541A">
        <w:t xml:space="preserve">if preferred. </w:t>
      </w:r>
      <w:r w:rsidR="00D60817">
        <w:t xml:space="preserve"> </w:t>
      </w:r>
    </w:p>
    <w:p w14:paraId="6BE74884" w14:textId="77777777" w:rsidR="00397072" w:rsidRDefault="00397072" w:rsidP="007A67B5">
      <w:pPr>
        <w:autoSpaceDE w:val="0"/>
        <w:autoSpaceDN w:val="0"/>
        <w:adjustRightInd w:val="0"/>
        <w:spacing w:after="120" w:line="240" w:lineRule="auto"/>
        <w:rPr>
          <w:rStyle w:val="Hyperlink"/>
          <w:bCs/>
          <w:color w:val="9B1D54"/>
          <w:sz w:val="28"/>
          <w:szCs w:val="28"/>
          <w:u w:val="none"/>
        </w:rPr>
      </w:pPr>
    </w:p>
    <w:p w14:paraId="20294402" w14:textId="06545255"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0C4FC24F" w14:textId="2F5F2C08" w:rsidR="0068534E" w:rsidRDefault="00B06084" w:rsidP="0068534E">
      <w:r>
        <w:t>Consumer</w:t>
      </w:r>
      <w:r w:rsidR="0068534E">
        <w:t xml:space="preserve"> representatives will be remunerated at $187.50 per meeting which includes pre-reading, travel time, expenses, and parking</w:t>
      </w:r>
      <w:r w:rsidR="00C016F2">
        <w:t xml:space="preserve"> as well as travel costs.</w:t>
      </w:r>
      <w:r w:rsidR="00F534B0">
        <w:t xml:space="preserve"> </w:t>
      </w:r>
      <w:r w:rsidR="0068534E">
        <w:t>Morning</w:t>
      </w:r>
      <w:r>
        <w:t xml:space="preserve">/afternoon </w:t>
      </w:r>
      <w:r w:rsidR="0068534E">
        <w:t xml:space="preserve">tea or lunch will be provided at the meetings. </w:t>
      </w:r>
    </w:p>
    <w:p w14:paraId="66E257F8" w14:textId="3A19AED1" w:rsidR="00102F1F" w:rsidRPr="00397072" w:rsidRDefault="0068534E" w:rsidP="00397072">
      <w:pPr>
        <w:rPr>
          <w:rStyle w:val="Hyperlink"/>
          <w:color w:val="auto"/>
          <w:u w:val="none"/>
        </w:rPr>
      </w:pPr>
      <w:r>
        <w:t xml:space="preserve">Successful applicants will be given a background briefing via phone prior to the first meeting and will be supported by </w:t>
      </w:r>
      <w:r w:rsidR="00B06084">
        <w:t>the CheckUP Busine</w:t>
      </w:r>
      <w:r w:rsidR="00F070EF">
        <w:t>ss C</w:t>
      </w:r>
      <w:r>
        <w:t xml:space="preserve">oordinator should they require additional information and/or support to link with other group </w:t>
      </w:r>
      <w:r w:rsidRPr="00CB79CE">
        <w:t>members</w:t>
      </w:r>
      <w:r>
        <w:t xml:space="preserve">. </w:t>
      </w:r>
    </w:p>
    <w:p w14:paraId="594D2589" w14:textId="06FB0458"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7FA5EC75" w14:textId="1685F9AC" w:rsidR="007A67B5" w:rsidRPr="002933DA"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5" w:history="1">
        <w:r w:rsidRPr="00F274C6">
          <w:rPr>
            <w:rStyle w:val="Hyperlink"/>
            <w:b/>
          </w:rPr>
          <w:t>consumer@hcq.org.au</w:t>
        </w:r>
      </w:hyperlink>
      <w:r>
        <w:rPr>
          <w:rStyle w:val="Hyperlink"/>
          <w:b/>
        </w:rPr>
        <w:t xml:space="preserve"> </w:t>
      </w:r>
      <w:r w:rsidRPr="00996C71">
        <w:rPr>
          <w:rStyle w:val="Hyperlink"/>
          <w:color w:val="auto"/>
          <w:u w:val="none"/>
        </w:rPr>
        <w:t xml:space="preserve">by </w:t>
      </w:r>
      <w:r w:rsidR="00006FF3">
        <w:rPr>
          <w:rStyle w:val="Hyperlink"/>
          <w:color w:val="auto"/>
          <w:u w:val="none"/>
        </w:rPr>
        <w:t>Thursday 12th</w:t>
      </w:r>
      <w:r w:rsidR="009E6C73">
        <w:rPr>
          <w:rStyle w:val="Hyperlink"/>
          <w:color w:val="auto"/>
          <w:u w:val="none"/>
        </w:rPr>
        <w:t xml:space="preserve"> September 2019.</w:t>
      </w:r>
    </w:p>
    <w:p w14:paraId="1B6D2FBB" w14:textId="3AFA5C21" w:rsidR="007A67B5" w:rsidRDefault="007A67B5" w:rsidP="007A67B5">
      <w:r w:rsidRPr="00F274C6">
        <w:t xml:space="preserve">For assistance please contact Health Consumers Queensland via </w:t>
      </w:r>
      <w:hyperlink r:id="rId16" w:history="1">
        <w:r w:rsidRPr="00F274C6">
          <w:rPr>
            <w:rStyle w:val="Hyperlink"/>
          </w:rPr>
          <w:t>consumer@hcq.org.au</w:t>
        </w:r>
      </w:hyperlink>
      <w:r w:rsidRPr="00F274C6">
        <w:t xml:space="preserve"> or by phone on 07 3012 9090.</w:t>
      </w:r>
    </w:p>
    <w:p w14:paraId="5D55494D" w14:textId="126BB818" w:rsidR="00D142C1" w:rsidRDefault="00D142C1" w:rsidP="007A67B5">
      <w:r>
        <w:t xml:space="preserve">For queries relating to </w:t>
      </w:r>
      <w:r w:rsidRPr="001D3C7E">
        <w:rPr>
          <w:i/>
        </w:rPr>
        <w:t xml:space="preserve">the </w:t>
      </w:r>
      <w:r>
        <w:rPr>
          <w:i/>
        </w:rPr>
        <w:t xml:space="preserve">Genomics Primary Care Advisory Group </w:t>
      </w:r>
      <w:r>
        <w:t xml:space="preserve">please call </w:t>
      </w:r>
      <w:r w:rsidR="00CB79CE">
        <w:rPr>
          <w:i/>
        </w:rPr>
        <w:t>Sabrina Kerr</w:t>
      </w:r>
      <w:r>
        <w:rPr>
          <w:i/>
        </w:rPr>
        <w:t>,</w:t>
      </w:r>
      <w:r w:rsidRPr="00220A61">
        <w:t xml:space="preserve"> Business Coordinator</w:t>
      </w:r>
      <w:r>
        <w:rPr>
          <w:i/>
        </w:rPr>
        <w:t xml:space="preserve"> Tuesday- </w:t>
      </w:r>
      <w:r w:rsidR="00CB79CE">
        <w:rPr>
          <w:i/>
        </w:rPr>
        <w:t>Wednesday</w:t>
      </w:r>
      <w:r>
        <w:rPr>
          <w:i/>
        </w:rPr>
        <w:t xml:space="preserve"> </w:t>
      </w:r>
      <w:r>
        <w:t xml:space="preserve">on </w:t>
      </w:r>
      <w:r>
        <w:rPr>
          <w:i/>
        </w:rPr>
        <w:t>07 3105 830</w:t>
      </w:r>
      <w:r w:rsidR="009B04A3">
        <w:rPr>
          <w:i/>
        </w:rPr>
        <w:t>9</w:t>
      </w:r>
      <w:r w:rsidRPr="001D3C7E">
        <w:rPr>
          <w:i/>
        </w:rPr>
        <w:t xml:space="preserve"> </w:t>
      </w:r>
      <w:r>
        <w:t xml:space="preserve">or </w:t>
      </w:r>
      <w:hyperlink r:id="rId17" w:history="1">
        <w:r w:rsidR="009B04A3" w:rsidRPr="007F528B">
          <w:rPr>
            <w:rStyle w:val="Hyperlink"/>
          </w:rPr>
          <w:t>sabrinakerr@checkup.org.au</w:t>
        </w:r>
      </w:hyperlink>
      <w:r w:rsidR="009B04A3">
        <w:t>.</w:t>
      </w:r>
    </w:p>
    <w:p w14:paraId="498228D7" w14:textId="77777777" w:rsidR="009B04A3" w:rsidRDefault="009B04A3" w:rsidP="007A67B5"/>
    <w:p w14:paraId="5217875A" w14:textId="77777777" w:rsidR="009B04A3" w:rsidRDefault="009B04A3">
      <w:pPr>
        <w:rPr>
          <w:b/>
          <w:sz w:val="32"/>
          <w:szCs w:val="24"/>
        </w:rPr>
      </w:pPr>
      <w:r>
        <w:rPr>
          <w:b/>
          <w:sz w:val="32"/>
          <w:szCs w:val="24"/>
        </w:rPr>
        <w:br w:type="page"/>
      </w:r>
    </w:p>
    <w:p w14:paraId="46CCC9B6" w14:textId="21659BD2" w:rsidR="007A67B5" w:rsidRDefault="007A67B5" w:rsidP="007A67B5">
      <w:pPr>
        <w:jc w:val="center"/>
        <w:rPr>
          <w:b/>
          <w:sz w:val="32"/>
          <w:szCs w:val="24"/>
        </w:rPr>
      </w:pPr>
      <w:r>
        <w:rPr>
          <w:b/>
          <w:sz w:val="32"/>
          <w:szCs w:val="24"/>
        </w:rPr>
        <w:lastRenderedPageBreak/>
        <w:t>Consumer Application Form</w:t>
      </w:r>
    </w:p>
    <w:p w14:paraId="39632E79" w14:textId="60FCCB1A" w:rsidR="00947678" w:rsidRPr="00996C71" w:rsidRDefault="009B04A3" w:rsidP="005D726A">
      <w:pPr>
        <w:jc w:val="center"/>
        <w:rPr>
          <w:b/>
          <w:sz w:val="32"/>
          <w:szCs w:val="24"/>
        </w:rPr>
      </w:pPr>
      <w:r>
        <w:rPr>
          <w:b/>
          <w:sz w:val="32"/>
          <w:szCs w:val="24"/>
        </w:rPr>
        <w:t>Genomics Primary Care Advisory Group Consumer Representation</w:t>
      </w:r>
    </w:p>
    <w:p w14:paraId="2CFAAC41"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27AEFA5A"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7EC72622"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390EE595"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0B8A4918"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5322C787"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84D6D84"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4D6F5B3C"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440BF76B" w14:textId="3FC9FAB9"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 xml:space="preserve">Are you happy for Health Consumers Queensland to share this form with </w:t>
      </w:r>
      <w:r w:rsidR="00DD75C9">
        <w:rPr>
          <w:rFonts w:asciiTheme="minorHAnsi" w:hAnsiTheme="minorHAnsi" w:cstheme="minorHAnsi"/>
          <w:color w:val="auto"/>
          <w:sz w:val="22"/>
        </w:rPr>
        <w:t>CheckUp</w:t>
      </w:r>
      <w:r w:rsidRPr="00567FA9">
        <w:rPr>
          <w:rFonts w:asciiTheme="minorHAnsi" w:hAnsiTheme="minorHAnsi" w:cstheme="minorHAnsi"/>
          <w:color w:val="auto"/>
          <w:sz w:val="22"/>
        </w:rPr>
        <w:t xml:space="preserve">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1A1FAFEC"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4CACA15D"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8"/>
          <w:footerReference w:type="default" r:id="rId19"/>
          <w:pgSz w:w="12240" w:h="15840"/>
          <w:pgMar w:top="1440" w:right="1440" w:bottom="1440" w:left="1440" w:header="11" w:footer="720" w:gutter="0"/>
          <w:cols w:space="720"/>
          <w:docGrid w:linePitch="360"/>
        </w:sectPr>
      </w:pPr>
    </w:p>
    <w:p w14:paraId="15B74235"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3273A16E"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1904B8F4"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653820C3"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lastRenderedPageBreak/>
        <w:t>Living with a disability/chronic condition</w:t>
      </w:r>
    </w:p>
    <w:p w14:paraId="354DB48E"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01146BA7"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0772A4C3"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54277E1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0A1C447C"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797BECDC"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223AAD62"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state</w:t>
      </w:r>
    </w:p>
    <w:p w14:paraId="401A4D03"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4C093FB6"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9DDF7DF"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737AD5D0"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p w14:paraId="4A69886B"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4DA35473" w14:textId="77777777" w:rsidR="007B1118" w:rsidRPr="00567FA9" w:rsidRDefault="007B1118" w:rsidP="009D66F5">
      <w:pPr>
        <w:pStyle w:val="StaffH1"/>
        <w:rPr>
          <w:rFonts w:asciiTheme="minorHAnsi" w:hAnsiTheme="minorHAnsi" w:cstheme="minorHAnsi"/>
          <w:b w:val="0"/>
          <w:i/>
          <w:color w:val="auto"/>
          <w:sz w:val="22"/>
        </w:rPr>
      </w:pPr>
    </w:p>
    <w:p w14:paraId="0DEBA8FB" w14:textId="77777777" w:rsidR="007B1118" w:rsidRDefault="007B1118" w:rsidP="009D66F5">
      <w:pPr>
        <w:pStyle w:val="StaffH1"/>
        <w:rPr>
          <w:rFonts w:asciiTheme="minorHAnsi" w:hAnsiTheme="minorHAnsi" w:cstheme="minorHAnsi"/>
          <w:b w:val="0"/>
          <w:i/>
          <w:color w:val="auto"/>
          <w:sz w:val="20"/>
          <w:szCs w:val="20"/>
        </w:rPr>
      </w:pPr>
    </w:p>
    <w:p w14:paraId="24BE598F"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57E9B84"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5520E541"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6A07C155" w14:textId="77777777" w:rsidR="00553171" w:rsidRDefault="00553171" w:rsidP="00553171">
      <w:pPr>
        <w:pStyle w:val="StaffH1"/>
        <w:rPr>
          <w:rFonts w:asciiTheme="minorHAnsi" w:hAnsiTheme="minorHAnsi" w:cstheme="minorHAnsi"/>
          <w:sz w:val="20"/>
          <w:szCs w:val="20"/>
        </w:rPr>
      </w:pPr>
    </w:p>
    <w:p w14:paraId="4690C819" w14:textId="77777777" w:rsidR="00553171" w:rsidRDefault="00553171" w:rsidP="00553171">
      <w:pPr>
        <w:pStyle w:val="StaffH1"/>
        <w:rPr>
          <w:rFonts w:asciiTheme="minorHAnsi" w:hAnsiTheme="minorHAnsi" w:cstheme="minorHAnsi"/>
          <w:sz w:val="20"/>
          <w:szCs w:val="20"/>
        </w:rPr>
      </w:pPr>
    </w:p>
    <w:p w14:paraId="3B594857" w14:textId="77777777" w:rsidR="00553171" w:rsidRDefault="00553171" w:rsidP="00553171">
      <w:pPr>
        <w:pStyle w:val="StaffH1"/>
        <w:rPr>
          <w:rFonts w:asciiTheme="minorHAnsi" w:hAnsiTheme="minorHAnsi" w:cstheme="minorHAnsi"/>
          <w:sz w:val="20"/>
          <w:szCs w:val="20"/>
        </w:rPr>
      </w:pPr>
    </w:p>
    <w:p w14:paraId="6B39029A" w14:textId="77777777" w:rsidR="00553171" w:rsidRDefault="00553171" w:rsidP="00553171">
      <w:pPr>
        <w:pStyle w:val="StaffH1"/>
        <w:rPr>
          <w:rFonts w:asciiTheme="minorHAnsi" w:hAnsiTheme="minorHAnsi" w:cstheme="minorHAnsi"/>
          <w:sz w:val="20"/>
          <w:szCs w:val="20"/>
        </w:rPr>
      </w:pPr>
    </w:p>
    <w:p w14:paraId="0525B55A" w14:textId="77777777" w:rsidR="00553171" w:rsidRPr="00567FA9" w:rsidRDefault="00553171" w:rsidP="00553171">
      <w:pPr>
        <w:pStyle w:val="StaffH1"/>
        <w:rPr>
          <w:rFonts w:asciiTheme="minorHAnsi" w:hAnsiTheme="minorHAnsi" w:cstheme="minorHAnsi"/>
          <w:sz w:val="22"/>
        </w:rPr>
      </w:pPr>
    </w:p>
    <w:p w14:paraId="12AAE449" w14:textId="77777777" w:rsidR="00553171" w:rsidRDefault="00553171" w:rsidP="00553171">
      <w:pPr>
        <w:pStyle w:val="StaffH1"/>
        <w:rPr>
          <w:rFonts w:asciiTheme="minorHAnsi" w:hAnsiTheme="minorHAnsi" w:cstheme="minorHAnsi"/>
          <w:sz w:val="22"/>
        </w:rPr>
      </w:pPr>
    </w:p>
    <w:p w14:paraId="41048CE7" w14:textId="77777777" w:rsidR="00AF4875" w:rsidRPr="00567FA9" w:rsidRDefault="00AF4875" w:rsidP="00553171">
      <w:pPr>
        <w:pStyle w:val="StaffH1"/>
        <w:rPr>
          <w:rFonts w:asciiTheme="minorHAnsi" w:hAnsiTheme="minorHAnsi" w:cstheme="minorHAnsi"/>
          <w:sz w:val="22"/>
        </w:rPr>
      </w:pPr>
    </w:p>
    <w:p w14:paraId="669E3F3A" w14:textId="77777777" w:rsidR="008012D5" w:rsidRPr="00567FA9" w:rsidRDefault="00AF4875" w:rsidP="00AF4875">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567FA9">
        <w:rPr>
          <w:rFonts w:asciiTheme="minorHAnsi" w:hAnsiTheme="minorHAnsi" w:cstheme="minorHAnsi"/>
          <w:i/>
          <w:color w:val="808080" w:themeColor="background1" w:themeShade="80"/>
        </w:rPr>
        <w:t xml:space="preserve">Tip: Think about how this relates to the role you’re applying for. </w:t>
      </w:r>
    </w:p>
    <w:p w14:paraId="5FEC6E95" w14:textId="77777777" w:rsidR="008012D5" w:rsidRPr="00567FA9" w:rsidRDefault="008012D5" w:rsidP="00553171">
      <w:pPr>
        <w:pStyle w:val="TableParagraph"/>
        <w:spacing w:before="118"/>
      </w:pPr>
    </w:p>
    <w:p w14:paraId="0C5B3428" w14:textId="77777777" w:rsidR="00553171" w:rsidRPr="00567FA9" w:rsidRDefault="00553171" w:rsidP="00553171">
      <w:pPr>
        <w:pStyle w:val="StaffH1"/>
        <w:rPr>
          <w:rFonts w:asciiTheme="minorHAnsi" w:hAnsiTheme="minorHAnsi" w:cstheme="minorHAnsi"/>
          <w:b w:val="0"/>
          <w:i/>
          <w:color w:val="auto"/>
          <w:sz w:val="22"/>
        </w:rPr>
      </w:pPr>
    </w:p>
    <w:p w14:paraId="21EC96D5" w14:textId="77777777" w:rsidR="008012D5" w:rsidRPr="00567FA9" w:rsidRDefault="008012D5" w:rsidP="00553171">
      <w:pPr>
        <w:pStyle w:val="StaffH1"/>
        <w:rPr>
          <w:rFonts w:asciiTheme="minorHAnsi" w:hAnsiTheme="minorHAnsi" w:cstheme="minorHAnsi"/>
          <w:b w:val="0"/>
          <w:i/>
          <w:color w:val="auto"/>
          <w:sz w:val="22"/>
        </w:rPr>
      </w:pPr>
    </w:p>
    <w:p w14:paraId="0C633AFB" w14:textId="77777777" w:rsidR="00FD57CA" w:rsidRPr="00567FA9" w:rsidRDefault="00FD57CA" w:rsidP="00553171">
      <w:pPr>
        <w:pStyle w:val="StaffH1"/>
        <w:rPr>
          <w:rFonts w:asciiTheme="minorHAnsi" w:hAnsiTheme="minorHAnsi" w:cstheme="minorHAnsi"/>
          <w:b w:val="0"/>
          <w:i/>
          <w:color w:val="auto"/>
          <w:sz w:val="22"/>
        </w:rPr>
      </w:pPr>
    </w:p>
    <w:p w14:paraId="55DA5B3E" w14:textId="77777777" w:rsidR="00C532E7" w:rsidRPr="00567FA9" w:rsidRDefault="00C532E7" w:rsidP="00553171">
      <w:pPr>
        <w:pStyle w:val="StaffH1"/>
        <w:rPr>
          <w:rFonts w:asciiTheme="minorHAnsi" w:hAnsiTheme="minorHAnsi" w:cstheme="minorHAnsi"/>
          <w:b w:val="0"/>
          <w:i/>
          <w:color w:val="auto"/>
          <w:sz w:val="22"/>
        </w:rPr>
      </w:pPr>
    </w:p>
    <w:p w14:paraId="34EB2BDF" w14:textId="72337FBE" w:rsidR="00FD57CA" w:rsidRDefault="00FD57CA" w:rsidP="00553171">
      <w:pPr>
        <w:pStyle w:val="StaffH1"/>
        <w:rPr>
          <w:rFonts w:asciiTheme="minorHAnsi" w:hAnsiTheme="minorHAnsi" w:cstheme="minorHAnsi"/>
          <w:b w:val="0"/>
          <w:i/>
          <w:color w:val="auto"/>
          <w:sz w:val="22"/>
        </w:rPr>
      </w:pPr>
    </w:p>
    <w:p w14:paraId="3CB889B8" w14:textId="3E7CE0FD" w:rsidR="006A5450" w:rsidRDefault="006A5450" w:rsidP="00553171">
      <w:pPr>
        <w:pStyle w:val="StaffH1"/>
        <w:rPr>
          <w:rFonts w:asciiTheme="minorHAnsi" w:hAnsiTheme="minorHAnsi" w:cstheme="minorHAnsi"/>
          <w:b w:val="0"/>
          <w:i/>
          <w:color w:val="auto"/>
          <w:sz w:val="22"/>
        </w:rPr>
      </w:pPr>
    </w:p>
    <w:p w14:paraId="57D013DD" w14:textId="40102875" w:rsidR="006A5450" w:rsidRDefault="006A5450" w:rsidP="00553171">
      <w:pPr>
        <w:pStyle w:val="StaffH1"/>
        <w:rPr>
          <w:rFonts w:asciiTheme="minorHAnsi" w:hAnsiTheme="minorHAnsi" w:cstheme="minorHAnsi"/>
          <w:b w:val="0"/>
          <w:i/>
          <w:color w:val="auto"/>
          <w:sz w:val="22"/>
        </w:rPr>
      </w:pPr>
    </w:p>
    <w:p w14:paraId="46ECF309" w14:textId="485229F8" w:rsidR="006A5450" w:rsidRDefault="006A5450" w:rsidP="00553171">
      <w:pPr>
        <w:pStyle w:val="StaffH1"/>
        <w:rPr>
          <w:rFonts w:asciiTheme="minorHAnsi" w:hAnsiTheme="minorHAnsi" w:cstheme="minorHAnsi"/>
          <w:b w:val="0"/>
          <w:i/>
          <w:color w:val="auto"/>
          <w:sz w:val="22"/>
        </w:rPr>
      </w:pPr>
    </w:p>
    <w:p w14:paraId="1320D860" w14:textId="484AD120" w:rsidR="006A5450" w:rsidRDefault="006A5450" w:rsidP="00553171">
      <w:pPr>
        <w:pStyle w:val="StaffH1"/>
        <w:rPr>
          <w:rFonts w:asciiTheme="minorHAnsi" w:hAnsiTheme="minorHAnsi" w:cstheme="minorHAnsi"/>
          <w:b w:val="0"/>
          <w:i/>
          <w:color w:val="auto"/>
          <w:sz w:val="22"/>
        </w:rPr>
      </w:pPr>
    </w:p>
    <w:p w14:paraId="79459349" w14:textId="5397C087" w:rsidR="006A5450" w:rsidRDefault="006A5450" w:rsidP="00553171">
      <w:pPr>
        <w:pStyle w:val="StaffH1"/>
        <w:rPr>
          <w:rFonts w:asciiTheme="minorHAnsi" w:hAnsiTheme="minorHAnsi" w:cstheme="minorHAnsi"/>
          <w:b w:val="0"/>
          <w:i/>
          <w:color w:val="auto"/>
          <w:sz w:val="22"/>
        </w:rPr>
      </w:pPr>
    </w:p>
    <w:p w14:paraId="7FC1CE96" w14:textId="38302A38" w:rsidR="006A5450" w:rsidRDefault="006A5450" w:rsidP="00553171">
      <w:pPr>
        <w:pStyle w:val="StaffH1"/>
        <w:rPr>
          <w:rFonts w:asciiTheme="minorHAnsi" w:hAnsiTheme="minorHAnsi" w:cstheme="minorHAnsi"/>
          <w:b w:val="0"/>
          <w:i/>
          <w:color w:val="auto"/>
          <w:sz w:val="22"/>
        </w:rPr>
      </w:pPr>
    </w:p>
    <w:p w14:paraId="2AD07000" w14:textId="77777777" w:rsidR="006A5450" w:rsidRPr="00567FA9" w:rsidRDefault="006A5450" w:rsidP="00553171">
      <w:pPr>
        <w:pStyle w:val="StaffH1"/>
        <w:rPr>
          <w:rFonts w:asciiTheme="minorHAnsi" w:hAnsiTheme="minorHAnsi" w:cstheme="minorHAnsi"/>
          <w:b w:val="0"/>
          <w:i/>
          <w:color w:val="auto"/>
          <w:sz w:val="22"/>
        </w:rPr>
      </w:pPr>
    </w:p>
    <w:p w14:paraId="3CFED564" w14:textId="637975B6" w:rsidR="008012D5" w:rsidRPr="00567FA9" w:rsidRDefault="00E82D04" w:rsidP="00E82D0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lastRenderedPageBreak/>
        <w:t xml:space="preserve">Please describe your interest in </w:t>
      </w:r>
      <w:r w:rsidR="008E015B">
        <w:rPr>
          <w:rFonts w:asciiTheme="minorHAnsi" w:hAnsiTheme="minorHAnsi" w:cstheme="minorHAnsi"/>
          <w:color w:val="auto"/>
          <w:sz w:val="22"/>
        </w:rPr>
        <w:t>Genomics</w:t>
      </w:r>
      <w:r>
        <w:rPr>
          <w:rFonts w:asciiTheme="minorHAnsi" w:hAnsiTheme="minorHAnsi" w:cstheme="minorHAnsi"/>
          <w:color w:val="auto"/>
          <w:sz w:val="22"/>
        </w:rPr>
        <w:t xml:space="preserve">? </w:t>
      </w:r>
    </w:p>
    <w:p w14:paraId="174D2CD4" w14:textId="77777777" w:rsidR="008012D5" w:rsidRPr="00567FA9" w:rsidRDefault="008012D5" w:rsidP="008012D5">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06BD9025"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314F87BA"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6C55675D" w14:textId="1FF7B659" w:rsidR="008012D5" w:rsidRDefault="008012D5" w:rsidP="00553171">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Any systems change that you have identified that will improve care for health consumers, and possible strategies you could share to affect that change.  </w:t>
      </w:r>
    </w:p>
    <w:p w14:paraId="7D1B3464" w14:textId="77777777" w:rsidR="006A5450" w:rsidRPr="006A5450" w:rsidRDefault="006A5450" w:rsidP="006A5450">
      <w:pPr>
        <w:pStyle w:val="StaffH1"/>
        <w:ind w:left="360"/>
        <w:rPr>
          <w:rFonts w:asciiTheme="minorHAnsi" w:hAnsiTheme="minorHAnsi" w:cstheme="minorHAnsi"/>
          <w:b w:val="0"/>
          <w:i/>
          <w:color w:val="808080" w:themeColor="background1" w:themeShade="80"/>
          <w:sz w:val="22"/>
        </w:rPr>
      </w:pPr>
      <w:bookmarkStart w:id="0" w:name="_GoBack"/>
      <w:bookmarkEnd w:id="0"/>
    </w:p>
    <w:sectPr w:rsidR="006A5450" w:rsidRPr="006A5450" w:rsidSect="007B1118">
      <w:type w:val="continuous"/>
      <w:pgSz w:w="12240" w:h="15840"/>
      <w:pgMar w:top="1440" w:right="1440" w:bottom="1440" w:left="1440" w:header="11"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467CF" w16cid:durableId="210A3D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546B" w14:textId="77777777" w:rsidR="00217156" w:rsidRDefault="00217156" w:rsidP="007B1118">
      <w:pPr>
        <w:spacing w:after="0" w:line="240" w:lineRule="auto"/>
      </w:pPr>
      <w:r>
        <w:separator/>
      </w:r>
    </w:p>
  </w:endnote>
  <w:endnote w:type="continuationSeparator" w:id="0">
    <w:p w14:paraId="2D323053" w14:textId="77777777" w:rsidR="00217156" w:rsidRDefault="00217156" w:rsidP="007B1118">
      <w:pPr>
        <w:spacing w:after="0" w:line="240" w:lineRule="auto"/>
      </w:pPr>
      <w:r>
        <w:continuationSeparator/>
      </w:r>
    </w:p>
  </w:endnote>
  <w:endnote w:type="continuationNotice" w:id="1">
    <w:p w14:paraId="0C556ADD" w14:textId="77777777" w:rsidR="00217156" w:rsidRDefault="00217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03352"/>
      <w:docPartObj>
        <w:docPartGallery w:val="Page Numbers (Bottom of Page)"/>
        <w:docPartUnique/>
      </w:docPartObj>
    </w:sdtPr>
    <w:sdtEndPr>
      <w:rPr>
        <w:noProof/>
      </w:rPr>
    </w:sdtEndPr>
    <w:sdtContent>
      <w:p w14:paraId="106AB86D" w14:textId="7B76855D" w:rsidR="003377AE" w:rsidRDefault="003377AE">
        <w:pPr>
          <w:pStyle w:val="Footer"/>
        </w:pPr>
        <w:r>
          <w:fldChar w:fldCharType="begin"/>
        </w:r>
        <w:r>
          <w:instrText xml:space="preserve"> PAGE   \* MERGEFORMAT </w:instrText>
        </w:r>
        <w:r>
          <w:fldChar w:fldCharType="separate"/>
        </w:r>
        <w:r w:rsidR="006A5450">
          <w:rPr>
            <w:noProof/>
          </w:rPr>
          <w:t>6</w:t>
        </w:r>
        <w:r>
          <w:rPr>
            <w:noProof/>
          </w:rPr>
          <w:fldChar w:fldCharType="end"/>
        </w:r>
      </w:p>
    </w:sdtContent>
  </w:sdt>
  <w:p w14:paraId="6931EB69" w14:textId="77777777" w:rsidR="003377AE" w:rsidRDefault="00337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01D1" w14:textId="77777777" w:rsidR="00217156" w:rsidRDefault="00217156" w:rsidP="007B1118">
      <w:pPr>
        <w:spacing w:after="0" w:line="240" w:lineRule="auto"/>
      </w:pPr>
      <w:r>
        <w:separator/>
      </w:r>
    </w:p>
  </w:footnote>
  <w:footnote w:type="continuationSeparator" w:id="0">
    <w:p w14:paraId="5AC7B1B4" w14:textId="77777777" w:rsidR="00217156" w:rsidRDefault="00217156" w:rsidP="007B1118">
      <w:pPr>
        <w:spacing w:after="0" w:line="240" w:lineRule="auto"/>
      </w:pPr>
      <w:r>
        <w:continuationSeparator/>
      </w:r>
    </w:p>
  </w:footnote>
  <w:footnote w:type="continuationNotice" w:id="1">
    <w:p w14:paraId="28DCE080" w14:textId="77777777" w:rsidR="00217156" w:rsidRDefault="0021715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3377AE" w:rsidRPr="007B1118" w14:paraId="3FB52F20" w14:textId="77777777" w:rsidTr="007B1118">
      <w:trPr>
        <w:trHeight w:val="20"/>
      </w:trPr>
      <w:tc>
        <w:tcPr>
          <w:tcW w:w="12191" w:type="dxa"/>
          <w:gridSpan w:val="5"/>
          <w:tcBorders>
            <w:top w:val="single" w:sz="4" w:space="0" w:color="FFFFFF"/>
            <w:bottom w:val="nil"/>
            <w:right w:val="nil"/>
          </w:tcBorders>
          <w:shd w:val="clear" w:color="auto" w:fill="650030"/>
        </w:tcPr>
        <w:p w14:paraId="2A23EFD9" w14:textId="77777777" w:rsidR="003377AE" w:rsidRPr="007B1118" w:rsidRDefault="003377AE" w:rsidP="007B1118">
          <w:pPr>
            <w:tabs>
              <w:tab w:val="center" w:pos="4513"/>
              <w:tab w:val="right" w:pos="9026"/>
            </w:tabs>
            <w:rPr>
              <w:rFonts w:ascii="Calibri" w:eastAsia="Calibri" w:hAnsi="Calibri" w:cs="Times New Roman"/>
            </w:rPr>
          </w:pPr>
        </w:p>
      </w:tc>
    </w:tr>
    <w:tr w:rsidR="003377AE" w:rsidRPr="007B1118" w14:paraId="39E85E6C" w14:textId="77777777" w:rsidTr="007B1118">
      <w:trPr>
        <w:trHeight w:val="136"/>
      </w:trPr>
      <w:tc>
        <w:tcPr>
          <w:tcW w:w="1981" w:type="dxa"/>
          <w:tcBorders>
            <w:top w:val="nil"/>
            <w:bottom w:val="nil"/>
          </w:tcBorders>
          <w:shd w:val="clear" w:color="auto" w:fill="009297"/>
        </w:tcPr>
        <w:p w14:paraId="24DDA98E" w14:textId="77777777" w:rsidR="003377AE" w:rsidRPr="007B1118" w:rsidRDefault="003377AE"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66BE78A3" w14:textId="77777777" w:rsidR="003377AE" w:rsidRPr="007B1118" w:rsidRDefault="003377AE"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426ED11" w14:textId="77777777" w:rsidR="003377AE" w:rsidRPr="007B1118" w:rsidRDefault="003377AE"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4617593" w14:textId="77777777" w:rsidR="003377AE" w:rsidRPr="007B1118" w:rsidRDefault="003377AE" w:rsidP="007B1118">
          <w:pPr>
            <w:tabs>
              <w:tab w:val="center" w:pos="4513"/>
              <w:tab w:val="right" w:pos="9026"/>
            </w:tabs>
            <w:rPr>
              <w:rFonts w:ascii="Calibri" w:eastAsia="Calibri" w:hAnsi="Calibri" w:cs="Times New Roman"/>
            </w:rPr>
          </w:pPr>
        </w:p>
      </w:tc>
    </w:tr>
    <w:tr w:rsidR="003377AE" w:rsidRPr="007B1118" w14:paraId="3D5D9C78"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227B1CCB" w14:textId="77777777" w:rsidR="003377AE" w:rsidRPr="007B1118" w:rsidRDefault="003377AE"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09C9B4F5" wp14:editId="1A2FCD49">
                <wp:extent cx="1993900" cy="5034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680C5D21" w14:textId="77777777" w:rsidR="003377AE" w:rsidRPr="007B1118" w:rsidRDefault="003377AE"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4B488D7F" w14:textId="77777777" w:rsidR="003377AE" w:rsidRPr="007B1118" w:rsidRDefault="003377AE" w:rsidP="007B11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5358"/>
    <w:multiLevelType w:val="hybridMultilevel"/>
    <w:tmpl w:val="534C23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D676F"/>
    <w:multiLevelType w:val="hybridMultilevel"/>
    <w:tmpl w:val="B290F5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4"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30"/>
    <w:rsid w:val="00006FF3"/>
    <w:rsid w:val="00067FDB"/>
    <w:rsid w:val="000A1C45"/>
    <w:rsid w:val="000A24CB"/>
    <w:rsid w:val="000A6D5A"/>
    <w:rsid w:val="000D1F35"/>
    <w:rsid w:val="000F02BA"/>
    <w:rsid w:val="00102F1F"/>
    <w:rsid w:val="0011708E"/>
    <w:rsid w:val="00187D70"/>
    <w:rsid w:val="001A491C"/>
    <w:rsid w:val="001C07CC"/>
    <w:rsid w:val="001E2D45"/>
    <w:rsid w:val="001E5FB3"/>
    <w:rsid w:val="00217156"/>
    <w:rsid w:val="0026138A"/>
    <w:rsid w:val="002A7391"/>
    <w:rsid w:val="002F3384"/>
    <w:rsid w:val="003377AE"/>
    <w:rsid w:val="00341D41"/>
    <w:rsid w:val="00377674"/>
    <w:rsid w:val="00397072"/>
    <w:rsid w:val="003E15C9"/>
    <w:rsid w:val="003F4436"/>
    <w:rsid w:val="004017AA"/>
    <w:rsid w:val="00415801"/>
    <w:rsid w:val="00441807"/>
    <w:rsid w:val="00470534"/>
    <w:rsid w:val="00493227"/>
    <w:rsid w:val="004A738F"/>
    <w:rsid w:val="004F64F8"/>
    <w:rsid w:val="00525CBB"/>
    <w:rsid w:val="00526601"/>
    <w:rsid w:val="00537C4D"/>
    <w:rsid w:val="0055091E"/>
    <w:rsid w:val="00553171"/>
    <w:rsid w:val="00567FA9"/>
    <w:rsid w:val="005A08BE"/>
    <w:rsid w:val="005C728F"/>
    <w:rsid w:val="005D726A"/>
    <w:rsid w:val="005F686F"/>
    <w:rsid w:val="00600101"/>
    <w:rsid w:val="0068534E"/>
    <w:rsid w:val="006A5450"/>
    <w:rsid w:val="006F009F"/>
    <w:rsid w:val="00706302"/>
    <w:rsid w:val="00715183"/>
    <w:rsid w:val="0075352C"/>
    <w:rsid w:val="00753AE4"/>
    <w:rsid w:val="0076176E"/>
    <w:rsid w:val="007A67B5"/>
    <w:rsid w:val="007B1118"/>
    <w:rsid w:val="007B55C3"/>
    <w:rsid w:val="007B7AC0"/>
    <w:rsid w:val="007E2D3C"/>
    <w:rsid w:val="007E541A"/>
    <w:rsid w:val="008012D5"/>
    <w:rsid w:val="008121A2"/>
    <w:rsid w:val="00875835"/>
    <w:rsid w:val="0089406A"/>
    <w:rsid w:val="008955CD"/>
    <w:rsid w:val="008A7949"/>
    <w:rsid w:val="008C3230"/>
    <w:rsid w:val="008E015B"/>
    <w:rsid w:val="00902707"/>
    <w:rsid w:val="00947678"/>
    <w:rsid w:val="00953EBE"/>
    <w:rsid w:val="00982F1B"/>
    <w:rsid w:val="00996C71"/>
    <w:rsid w:val="009B04A3"/>
    <w:rsid w:val="009B0C7B"/>
    <w:rsid w:val="009D66F5"/>
    <w:rsid w:val="009E6C73"/>
    <w:rsid w:val="00A23BC0"/>
    <w:rsid w:val="00AD5F28"/>
    <w:rsid w:val="00AD7DF8"/>
    <w:rsid w:val="00AE1DA6"/>
    <w:rsid w:val="00AF4875"/>
    <w:rsid w:val="00B01FEF"/>
    <w:rsid w:val="00B06084"/>
    <w:rsid w:val="00B365B0"/>
    <w:rsid w:val="00B94DE9"/>
    <w:rsid w:val="00B97102"/>
    <w:rsid w:val="00BA5A71"/>
    <w:rsid w:val="00BB177C"/>
    <w:rsid w:val="00BC4847"/>
    <w:rsid w:val="00BE64FB"/>
    <w:rsid w:val="00BF7FAC"/>
    <w:rsid w:val="00C016F2"/>
    <w:rsid w:val="00C532E7"/>
    <w:rsid w:val="00C80353"/>
    <w:rsid w:val="00C95682"/>
    <w:rsid w:val="00CB3A4B"/>
    <w:rsid w:val="00CB79CE"/>
    <w:rsid w:val="00CC0987"/>
    <w:rsid w:val="00CE5AED"/>
    <w:rsid w:val="00CE7B52"/>
    <w:rsid w:val="00CF307C"/>
    <w:rsid w:val="00D142C1"/>
    <w:rsid w:val="00D5405D"/>
    <w:rsid w:val="00D60817"/>
    <w:rsid w:val="00D92B4F"/>
    <w:rsid w:val="00D960BA"/>
    <w:rsid w:val="00DB3A31"/>
    <w:rsid w:val="00DC348B"/>
    <w:rsid w:val="00DC39F3"/>
    <w:rsid w:val="00DC3A90"/>
    <w:rsid w:val="00DD75C9"/>
    <w:rsid w:val="00DE133B"/>
    <w:rsid w:val="00E21D57"/>
    <w:rsid w:val="00E768F4"/>
    <w:rsid w:val="00E82D04"/>
    <w:rsid w:val="00EE57F0"/>
    <w:rsid w:val="00F070EF"/>
    <w:rsid w:val="00F33C39"/>
    <w:rsid w:val="00F534B0"/>
    <w:rsid w:val="00F56AC5"/>
    <w:rsid w:val="00F93176"/>
    <w:rsid w:val="00F96E7E"/>
    <w:rsid w:val="00FC287E"/>
    <w:rsid w:val="00FD0A44"/>
    <w:rsid w:val="00FD5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DC33"/>
  <w15:chartTrackingRefBased/>
  <w15:docId w15:val="{5A66F0F7-8B70-490F-B95B-EF2571C2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982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F1B"/>
    <w:rPr>
      <w:rFonts w:ascii="Segoe UI" w:hAnsi="Segoe UI" w:cs="Segoe UI"/>
      <w:sz w:val="18"/>
      <w:szCs w:val="18"/>
    </w:rPr>
  </w:style>
  <w:style w:type="character" w:customStyle="1" w:styleId="UnresolvedMention1">
    <w:name w:val="Unresolved Mention1"/>
    <w:basedOn w:val="DefaultParagraphFont"/>
    <w:uiPriority w:val="99"/>
    <w:semiHidden/>
    <w:unhideWhenUsed/>
    <w:rsid w:val="00E21D57"/>
    <w:rPr>
      <w:color w:val="605E5C"/>
      <w:shd w:val="clear" w:color="auto" w:fill="E1DFDD"/>
    </w:rPr>
  </w:style>
  <w:style w:type="character" w:styleId="CommentReference">
    <w:name w:val="annotation reference"/>
    <w:basedOn w:val="DefaultParagraphFont"/>
    <w:uiPriority w:val="99"/>
    <w:semiHidden/>
    <w:unhideWhenUsed/>
    <w:rsid w:val="00600101"/>
    <w:rPr>
      <w:sz w:val="16"/>
      <w:szCs w:val="16"/>
    </w:rPr>
  </w:style>
  <w:style w:type="paragraph" w:styleId="CommentText">
    <w:name w:val="annotation text"/>
    <w:basedOn w:val="Normal"/>
    <w:link w:val="CommentTextChar"/>
    <w:uiPriority w:val="99"/>
    <w:semiHidden/>
    <w:unhideWhenUsed/>
    <w:rsid w:val="00600101"/>
    <w:pPr>
      <w:spacing w:line="240" w:lineRule="auto"/>
    </w:pPr>
    <w:rPr>
      <w:sz w:val="20"/>
      <w:szCs w:val="20"/>
    </w:rPr>
  </w:style>
  <w:style w:type="character" w:customStyle="1" w:styleId="CommentTextChar">
    <w:name w:val="Comment Text Char"/>
    <w:basedOn w:val="DefaultParagraphFont"/>
    <w:link w:val="CommentText"/>
    <w:uiPriority w:val="99"/>
    <w:semiHidden/>
    <w:rsid w:val="00600101"/>
    <w:rPr>
      <w:sz w:val="20"/>
      <w:szCs w:val="20"/>
    </w:rPr>
  </w:style>
  <w:style w:type="paragraph" w:styleId="CommentSubject">
    <w:name w:val="annotation subject"/>
    <w:basedOn w:val="CommentText"/>
    <w:next w:val="CommentText"/>
    <w:link w:val="CommentSubjectChar"/>
    <w:uiPriority w:val="99"/>
    <w:semiHidden/>
    <w:unhideWhenUsed/>
    <w:rsid w:val="00600101"/>
    <w:rPr>
      <w:b/>
      <w:bCs/>
    </w:rPr>
  </w:style>
  <w:style w:type="character" w:customStyle="1" w:styleId="CommentSubjectChar">
    <w:name w:val="Comment Subject Char"/>
    <w:basedOn w:val="CommentTextChar"/>
    <w:link w:val="CommentSubject"/>
    <w:uiPriority w:val="99"/>
    <w:semiHidden/>
    <w:rsid w:val="006001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ckup.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heckup.org.au" TargetMode="External"/><Relationship Id="rId17" Type="http://schemas.openxmlformats.org/officeDocument/2006/relationships/hyperlink" Target="mailto:sabrinakerr@checkup.org.au" TargetMode="External"/><Relationship Id="rId2" Type="http://schemas.openxmlformats.org/officeDocument/2006/relationships/customXml" Target="../customXml/item2.xml"/><Relationship Id="rId16" Type="http://schemas.openxmlformats.org/officeDocument/2006/relationships/hyperlink" Target="mailto:consumer@hcq.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ckup.org.au/" TargetMode="External"/><Relationship Id="rId5" Type="http://schemas.openxmlformats.org/officeDocument/2006/relationships/numbering" Target="numbering.xml"/><Relationship Id="rId15" Type="http://schemas.openxmlformats.org/officeDocument/2006/relationships/hyperlink" Target="mailto:consumer@hcq.org.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eenslandgenomics.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8b72f49-3683-4d5a-911e-a355c4d1ccba">USDACTXWQNHY-801825108-2119</_dlc_DocId>
    <_dlc_DocIdUrl xmlns="08b72f49-3683-4d5a-911e-a355c4d1ccba">
      <Url>https://checkuporg.sharepoint.com/business-areas/businessdevelopment/_layouts/15/DocIdRedir.aspx?ID=USDACTXWQNHY-801825108-2119</Url>
      <Description>USDACTXWQNHY-801825108-2119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D6149083B6E041859E3C834ECA9AA4" ma:contentTypeVersion="71" ma:contentTypeDescription="Create a new document." ma:contentTypeScope="" ma:versionID="98b48ca7a608bb7c9902bd23e3740e71">
  <xsd:schema xmlns:xsd="http://www.w3.org/2001/XMLSchema" xmlns:xs="http://www.w3.org/2001/XMLSchema" xmlns:p="http://schemas.microsoft.com/office/2006/metadata/properties" xmlns:ns2="08b72f49-3683-4d5a-911e-a355c4d1ccba" xmlns:ns3="aa754170-44b6-4fea-9772-9b0e3f306032" xmlns:ns4="acf0ea00-e638-426b-8b19-7901c2baef25" targetNamespace="http://schemas.microsoft.com/office/2006/metadata/properties" ma:root="true" ma:fieldsID="bdbf60e8994f3954b04e2abe0ebcdffc" ns2:_="" ns3:_="" ns4:_="">
    <xsd:import namespace="08b72f49-3683-4d5a-911e-a355c4d1ccba"/>
    <xsd:import namespace="aa754170-44b6-4fea-9772-9b0e3f306032"/>
    <xsd:import namespace="acf0ea00-e638-426b-8b19-7901c2baef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2f49-3683-4d5a-911e-a355c4d1cc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754170-44b6-4fea-9772-9b0e3f3060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ea00-e638-426b-8b19-7901c2baef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raining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B46C5-4E7C-4CE9-8C29-992B1B6C4E91}">
  <ds:schemaRefs>
    <ds:schemaRef ds:uri="http://schemas.microsoft.com/sharepoint/v3/contenttype/forms"/>
  </ds:schemaRefs>
</ds:datastoreItem>
</file>

<file path=customXml/itemProps2.xml><?xml version="1.0" encoding="utf-8"?>
<ds:datastoreItem xmlns:ds="http://schemas.openxmlformats.org/officeDocument/2006/customXml" ds:itemID="{048CF5D9-76AF-4F4C-B67D-C9641BBBCA39}">
  <ds:schemaRefs>
    <ds:schemaRef ds:uri="http://schemas.microsoft.com/sharepoint/events"/>
  </ds:schemaRefs>
</ds:datastoreItem>
</file>

<file path=customXml/itemProps3.xml><?xml version="1.0" encoding="utf-8"?>
<ds:datastoreItem xmlns:ds="http://schemas.openxmlformats.org/officeDocument/2006/customXml" ds:itemID="{6B59A035-7C7B-428B-8BFE-ACDBA37C62E1}">
  <ds:schemaRefs>
    <ds:schemaRef ds:uri="http://schemas.microsoft.com/office/2006/metadata/properties"/>
    <ds:schemaRef ds:uri="http://schemas.microsoft.com/office/infopath/2007/PartnerControls"/>
    <ds:schemaRef ds:uri="08b72f49-3683-4d5a-911e-a355c4d1ccba"/>
  </ds:schemaRefs>
</ds:datastoreItem>
</file>

<file path=customXml/itemProps4.xml><?xml version="1.0" encoding="utf-8"?>
<ds:datastoreItem xmlns:ds="http://schemas.openxmlformats.org/officeDocument/2006/customXml" ds:itemID="{96C43AB5-1387-4F70-A47F-5CD718086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72f49-3683-4d5a-911e-a355c4d1ccba"/>
    <ds:schemaRef ds:uri="aa754170-44b6-4fea-9772-9b0e3f306032"/>
    <ds:schemaRef ds:uri="acf0ea00-e638-426b-8b19-7901c2bae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7</cp:revision>
  <cp:lastPrinted>2019-08-20T06:25:00Z</cp:lastPrinted>
  <dcterms:created xsi:type="dcterms:W3CDTF">2019-08-23T00:57:00Z</dcterms:created>
  <dcterms:modified xsi:type="dcterms:W3CDTF">2019-08-23T01:01:00Z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0x0101001AD6149083B6E041859E3C834ECA9AA4</vt:lpwstr>
  </property>
  <property fmtid="{D5CDD505-2E9C-101B-9397-08002B2CF9AE}" pid="3" name="_dlc_DocIdItemGuid">
    <vt:lpwstr>18cb592e-c09f-4969-ba0c-d30790d8a537</vt:lpwstr>
  </property>
</Properties>
</file>