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7EDE5" w14:textId="57E1D1F8" w:rsidR="00AD5F28" w:rsidRDefault="00CF307C" w:rsidP="00CF307C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 </w:t>
      </w:r>
      <w:r w:rsidR="00DD5CEA">
        <w:rPr>
          <w:sz w:val="36"/>
        </w:rPr>
        <w:t xml:space="preserve">Application for </w:t>
      </w:r>
      <w:r w:rsidR="00C54301">
        <w:rPr>
          <w:sz w:val="36"/>
        </w:rPr>
        <w:t>Consumer Representatives</w:t>
      </w:r>
    </w:p>
    <w:p w14:paraId="567E186C" w14:textId="57CBA999" w:rsidR="00DD5CEA" w:rsidRDefault="00DD5CEA" w:rsidP="00CF307C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Better Health </w:t>
      </w:r>
      <w:r w:rsidR="007069F0">
        <w:rPr>
          <w:sz w:val="36"/>
        </w:rPr>
        <w:t>NQ:</w:t>
      </w:r>
      <w:r>
        <w:rPr>
          <w:sz w:val="36"/>
        </w:rPr>
        <w:t xml:space="preserve"> </w:t>
      </w:r>
      <w:r w:rsidR="007069F0">
        <w:rPr>
          <w:sz w:val="36"/>
        </w:rPr>
        <w:t>Project Steering Group</w:t>
      </w:r>
      <w:r w:rsidR="003D444C">
        <w:rPr>
          <w:sz w:val="36"/>
        </w:rPr>
        <w:t>s</w:t>
      </w:r>
    </w:p>
    <w:p w14:paraId="3E7BC3D9" w14:textId="605640D9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97388A">
        <w:rPr>
          <w:rFonts w:asciiTheme="minorHAnsi" w:hAnsiTheme="minorHAnsi" w:cstheme="minorHAnsi"/>
          <w:color w:val="auto"/>
          <w:sz w:val="22"/>
        </w:rPr>
        <w:t>5pm, Mon 3 August 2020</w:t>
      </w:r>
    </w:p>
    <w:p w14:paraId="2D1522CA" w14:textId="7F662FB8" w:rsidR="007A67B5" w:rsidRPr="007A67B5" w:rsidRDefault="00DD5CEA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 xml:space="preserve">Better Health North Queensland Alliance </w:t>
      </w:r>
    </w:p>
    <w:p w14:paraId="3E1F7079" w14:textId="21DA0378" w:rsidR="00B85A22" w:rsidRPr="00B85A22" w:rsidRDefault="00DD5CEA" w:rsidP="0011708E">
      <w:pPr>
        <w:ind w:right="-755"/>
      </w:pPr>
      <w:r>
        <w:rPr>
          <w:b/>
        </w:rPr>
        <w:t xml:space="preserve">The Better Health </w:t>
      </w:r>
      <w:r w:rsidR="00B17C14">
        <w:rPr>
          <w:b/>
        </w:rPr>
        <w:t xml:space="preserve">North Queensland </w:t>
      </w:r>
      <w:r>
        <w:rPr>
          <w:b/>
        </w:rPr>
        <w:t xml:space="preserve">Alliance </w:t>
      </w:r>
      <w:r w:rsidR="00B17C14">
        <w:rPr>
          <w:b/>
        </w:rPr>
        <w:t xml:space="preserve">would like to </w:t>
      </w:r>
      <w:r w:rsidR="003D444C">
        <w:rPr>
          <w:b/>
        </w:rPr>
        <w:t>invite</w:t>
      </w:r>
      <w:r>
        <w:rPr>
          <w:b/>
        </w:rPr>
        <w:t xml:space="preserve"> health consumer representative</w:t>
      </w:r>
      <w:r w:rsidR="003D444C">
        <w:rPr>
          <w:b/>
        </w:rPr>
        <w:t>s</w:t>
      </w:r>
      <w:r>
        <w:rPr>
          <w:b/>
        </w:rPr>
        <w:t xml:space="preserve"> </w:t>
      </w:r>
      <w:r w:rsidR="00B17C14">
        <w:rPr>
          <w:b/>
        </w:rPr>
        <w:t xml:space="preserve">from North Queensland </w:t>
      </w:r>
      <w:r w:rsidR="003D444C">
        <w:rPr>
          <w:b/>
        </w:rPr>
        <w:t>to join Project</w:t>
      </w:r>
      <w:r w:rsidR="00AA5E0A">
        <w:rPr>
          <w:b/>
        </w:rPr>
        <w:t xml:space="preserve"> Steering Group</w:t>
      </w:r>
      <w:r w:rsidR="003D444C">
        <w:rPr>
          <w:b/>
        </w:rPr>
        <w:t>s</w:t>
      </w:r>
      <w:r w:rsidR="00B17C14">
        <w:rPr>
          <w:b/>
        </w:rPr>
        <w:t xml:space="preserve"> </w:t>
      </w:r>
      <w:r w:rsidR="003D444C">
        <w:rPr>
          <w:b/>
        </w:rPr>
        <w:t>to inform and shape decisions that will</w:t>
      </w:r>
      <w:r w:rsidR="00AA5E0A">
        <w:rPr>
          <w:b/>
        </w:rPr>
        <w:t xml:space="preserve"> improve the patient </w:t>
      </w:r>
      <w:r w:rsidR="003D444C">
        <w:rPr>
          <w:b/>
        </w:rPr>
        <w:t>jo</w:t>
      </w:r>
      <w:r w:rsidR="0097388A">
        <w:rPr>
          <w:b/>
        </w:rPr>
        <w:t>u</w:t>
      </w:r>
      <w:r w:rsidR="003D444C">
        <w:rPr>
          <w:b/>
        </w:rPr>
        <w:t>rney</w:t>
      </w:r>
      <w:r w:rsidR="00AA5E0A">
        <w:rPr>
          <w:b/>
        </w:rPr>
        <w:t xml:space="preserve"> and equity of access to services across North Queensland</w:t>
      </w:r>
      <w:r w:rsidR="0097388A">
        <w:rPr>
          <w:b/>
        </w:rPr>
        <w:t>. This will support</w:t>
      </w:r>
      <w:r w:rsidR="003D444C">
        <w:rPr>
          <w:b/>
        </w:rPr>
        <w:t xml:space="preserve"> their vision of Northern Queenslanders being as healthy as all Queenslanders. </w:t>
      </w:r>
    </w:p>
    <w:p w14:paraId="7D197EE0" w14:textId="7B5A9007" w:rsidR="00B17C14" w:rsidRPr="00B17C14" w:rsidRDefault="00EB60C9" w:rsidP="00B17C14">
      <w:pPr>
        <w:ind w:right="-755"/>
        <w:rPr>
          <w:bCs/>
        </w:rPr>
      </w:pPr>
      <w:r w:rsidRPr="00B17C14">
        <w:rPr>
          <w:bCs/>
        </w:rPr>
        <w:t xml:space="preserve">Better Health North Queensland is a </w:t>
      </w:r>
      <w:r w:rsidR="00B17C14">
        <w:rPr>
          <w:bCs/>
        </w:rPr>
        <w:t>collaboration</w:t>
      </w:r>
      <w:r w:rsidRPr="00B17C14">
        <w:rPr>
          <w:bCs/>
        </w:rPr>
        <w:t xml:space="preserve"> between the five North Queensland Hospital and Health Services</w:t>
      </w:r>
      <w:r w:rsidR="00B17C14">
        <w:rPr>
          <w:bCs/>
        </w:rPr>
        <w:t>;</w:t>
      </w:r>
      <w:r w:rsidRPr="00B17C14">
        <w:rPr>
          <w:bCs/>
        </w:rPr>
        <w:t xml:space="preserve"> North West HHS, Torres and Cape HHS, Cairns and Hinterland HHS, Townsville HHS, Mackay HHS and </w:t>
      </w:r>
      <w:r w:rsidR="00B17C14">
        <w:rPr>
          <w:bCs/>
        </w:rPr>
        <w:t xml:space="preserve">other key partners working to improve the health of Northern Queenslanders. </w:t>
      </w:r>
      <w:r w:rsidRPr="00B17C14">
        <w:rPr>
          <w:bCs/>
        </w:rPr>
        <w:t xml:space="preserve"> </w:t>
      </w:r>
    </w:p>
    <w:p w14:paraId="1C695323" w14:textId="77777777" w:rsidR="0011708E" w:rsidRPr="0011708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60D50E90" w14:textId="76F7A97D" w:rsidR="00AA5E0A" w:rsidRDefault="008A33E5" w:rsidP="008A33E5">
      <w:pPr>
        <w:spacing w:after="40" w:line="276" w:lineRule="auto"/>
      </w:pPr>
      <w:bookmarkStart w:id="0" w:name="_Hlk524699393"/>
      <w:r>
        <w:t xml:space="preserve">The Better Health NQ </w:t>
      </w:r>
      <w:r w:rsidR="00AA5E0A">
        <w:t>Project Steering Group</w:t>
      </w:r>
      <w:r w:rsidR="003D444C">
        <w:t xml:space="preserve">s are being established to focus on the following specific </w:t>
      </w:r>
      <w:r w:rsidR="00347ED7">
        <w:t>areas</w:t>
      </w:r>
      <w:r w:rsidR="003D444C">
        <w:t>:</w:t>
      </w:r>
      <w:r w:rsidR="00AA5E0A">
        <w:t xml:space="preserve"> </w:t>
      </w:r>
    </w:p>
    <w:p w14:paraId="3F8D464D" w14:textId="5DBA7D40" w:rsidR="003D444C" w:rsidRDefault="003D444C" w:rsidP="003D444C">
      <w:pPr>
        <w:pStyle w:val="ListParagraph"/>
        <w:numPr>
          <w:ilvl w:val="0"/>
          <w:numId w:val="11"/>
        </w:numPr>
        <w:spacing w:after="40" w:line="276" w:lineRule="auto"/>
      </w:pPr>
      <w:r>
        <w:rPr>
          <w:b/>
          <w:bCs/>
        </w:rPr>
        <w:t xml:space="preserve">NQ </w:t>
      </w:r>
      <w:r w:rsidRPr="003D444C">
        <w:rPr>
          <w:b/>
          <w:bCs/>
        </w:rPr>
        <w:t>Kidney Transplant Project Steering Group</w:t>
      </w:r>
      <w:r>
        <w:t>: Develop a North Queensland service model to support a proposal for a second Queensland Kidney transplant site to be located in North Queensland.</w:t>
      </w:r>
    </w:p>
    <w:p w14:paraId="40A9807B" w14:textId="6B621FE6" w:rsidR="003D444C" w:rsidRDefault="003D444C" w:rsidP="002B63E4">
      <w:pPr>
        <w:pStyle w:val="ListParagraph"/>
        <w:numPr>
          <w:ilvl w:val="0"/>
          <w:numId w:val="11"/>
        </w:numPr>
        <w:spacing w:after="40" w:line="276" w:lineRule="auto"/>
      </w:pPr>
      <w:r w:rsidRPr="003D444C">
        <w:rPr>
          <w:b/>
          <w:bCs/>
        </w:rPr>
        <w:t>NQ Networked Surgical Services</w:t>
      </w:r>
      <w:r w:rsidR="002B63E4" w:rsidRPr="002B63E4">
        <w:t xml:space="preserve"> </w:t>
      </w:r>
      <w:r w:rsidR="002B63E4" w:rsidRPr="002B63E4">
        <w:rPr>
          <w:b/>
          <w:bCs/>
        </w:rPr>
        <w:t>Project Steering Group</w:t>
      </w:r>
      <w:r w:rsidRPr="003D444C">
        <w:rPr>
          <w:b/>
          <w:bCs/>
        </w:rPr>
        <w:t>:</w:t>
      </w:r>
      <w:r>
        <w:t xml:space="preserve"> Develop a North Queensland service model reflecting the patient journey in the specialty areas of Ear, Nose and Throat and Ophthalmology.</w:t>
      </w:r>
    </w:p>
    <w:p w14:paraId="3D77F24D" w14:textId="4917ADF1" w:rsidR="003D444C" w:rsidRDefault="003D444C" w:rsidP="002B63E4">
      <w:pPr>
        <w:pStyle w:val="ListParagraph"/>
        <w:numPr>
          <w:ilvl w:val="0"/>
          <w:numId w:val="11"/>
        </w:numPr>
        <w:spacing w:after="40" w:line="276" w:lineRule="auto"/>
      </w:pPr>
      <w:r w:rsidRPr="00AD25B4">
        <w:rPr>
          <w:b/>
          <w:bCs/>
        </w:rPr>
        <w:t>NQ Healthcare in the Home</w:t>
      </w:r>
      <w:r w:rsidR="002B63E4" w:rsidRPr="002B63E4">
        <w:t xml:space="preserve"> </w:t>
      </w:r>
      <w:r w:rsidR="002B63E4" w:rsidRPr="002B63E4">
        <w:rPr>
          <w:b/>
          <w:bCs/>
        </w:rPr>
        <w:t>Project Steering Group</w:t>
      </w:r>
      <w:r w:rsidRPr="00AD25B4">
        <w:rPr>
          <w:b/>
          <w:bCs/>
        </w:rPr>
        <w:t>:</w:t>
      </w:r>
      <w:r>
        <w:t xml:space="preserve"> Developing a North Queensland service model for healthcare in the home</w:t>
      </w:r>
      <w:r w:rsidR="0096470C">
        <w:t>,</w:t>
      </w:r>
      <w:r>
        <w:t xml:space="preserve"> supported by virtual </w:t>
      </w:r>
      <w:r w:rsidR="00AD25B4">
        <w:t>health care</w:t>
      </w:r>
      <w:r w:rsidR="0096470C">
        <w:t xml:space="preserve"> in order to</w:t>
      </w:r>
      <w:r w:rsidR="00AD25B4">
        <w:t xml:space="preserve"> help those with chronic conditions to manage their healthcare and reduce the need for hospital admissions. </w:t>
      </w:r>
    </w:p>
    <w:bookmarkEnd w:id="0"/>
    <w:p w14:paraId="56EEEC2E" w14:textId="77777777" w:rsidR="008A33E5" w:rsidRDefault="008A33E5" w:rsidP="008A33E5">
      <w:pPr>
        <w:spacing w:after="40" w:line="276" w:lineRule="auto"/>
      </w:pPr>
    </w:p>
    <w:p w14:paraId="46261011" w14:textId="0D8B5E91" w:rsidR="00AD25B4" w:rsidRPr="00347ED7" w:rsidRDefault="00AD25B4" w:rsidP="008A33E5">
      <w:pPr>
        <w:rPr>
          <w:rFonts w:cs="Arial"/>
        </w:rPr>
      </w:pPr>
      <w:r w:rsidRPr="00347ED7">
        <w:rPr>
          <w:rFonts w:cs="Arial"/>
        </w:rPr>
        <w:t>T</w:t>
      </w:r>
      <w:r w:rsidR="00347ED7">
        <w:rPr>
          <w:rFonts w:cs="Arial"/>
        </w:rPr>
        <w:t>he terms of reference for three Project Steering G</w:t>
      </w:r>
      <w:r w:rsidRPr="00347ED7">
        <w:rPr>
          <w:rFonts w:cs="Arial"/>
        </w:rPr>
        <w:t>roups are currently being developed.</w:t>
      </w:r>
    </w:p>
    <w:p w14:paraId="5C3EE52A" w14:textId="15D92325" w:rsidR="008A33E5" w:rsidRDefault="008A33E5" w:rsidP="008A33E5">
      <w:r w:rsidRPr="00347ED7">
        <w:rPr>
          <w:rFonts w:cs="Arial"/>
        </w:rPr>
        <w:t xml:space="preserve">Members </w:t>
      </w:r>
      <w:r w:rsidR="00AA5E0A" w:rsidRPr="00347ED7">
        <w:rPr>
          <w:rFonts w:cs="Arial"/>
        </w:rPr>
        <w:t>include</w:t>
      </w:r>
      <w:r w:rsidRPr="00347ED7">
        <w:rPr>
          <w:rFonts w:cs="Arial"/>
        </w:rPr>
        <w:t>:</w:t>
      </w:r>
    </w:p>
    <w:p w14:paraId="6A52E9F4" w14:textId="27BDA9D2" w:rsidR="00AD25B4" w:rsidRDefault="00AD25B4" w:rsidP="00AD25B4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09"/>
        <w:jc w:val="both"/>
      </w:pPr>
      <w:r w:rsidRPr="00E13914">
        <w:t>Health Service Chief Executive</w:t>
      </w:r>
      <w:r>
        <w:t>s</w:t>
      </w:r>
    </w:p>
    <w:p w14:paraId="05970EE3" w14:textId="4F986706" w:rsidR="00AD25B4" w:rsidRDefault="00AD25B4" w:rsidP="00AD25B4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14" w:hanging="357"/>
        <w:jc w:val="both"/>
      </w:pPr>
      <w:r>
        <w:t>Senior Managers within Hospital and Health Services and Northern Queensland Primary Health Network</w:t>
      </w:r>
    </w:p>
    <w:p w14:paraId="0F22DD01" w14:textId="3CC9A7C5" w:rsidR="00AD25B4" w:rsidRDefault="00AD25B4" w:rsidP="00AD25B4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14" w:hanging="357"/>
        <w:jc w:val="both"/>
      </w:pPr>
      <w:r>
        <w:t>Senior Executives, Queensland Health</w:t>
      </w:r>
    </w:p>
    <w:p w14:paraId="1F360EC1" w14:textId="435D937A" w:rsidR="00AD25B4" w:rsidRPr="002C4450" w:rsidRDefault="00AD25B4" w:rsidP="00AD25B4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14" w:hanging="357"/>
        <w:jc w:val="both"/>
      </w:pPr>
      <w:r>
        <w:t>Hospital and Health Service Clinical representation</w:t>
      </w:r>
    </w:p>
    <w:p w14:paraId="72EA214F" w14:textId="77777777" w:rsidR="00AD25B4" w:rsidRDefault="00AD25B4" w:rsidP="00AD25B4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14" w:hanging="357"/>
        <w:jc w:val="both"/>
      </w:pPr>
      <w:r>
        <w:t>Two consumer representatives</w:t>
      </w:r>
    </w:p>
    <w:p w14:paraId="4F893D33" w14:textId="77777777" w:rsidR="008A33E5" w:rsidRDefault="008A33E5" w:rsidP="008A33E5">
      <w:pPr>
        <w:pStyle w:val="ListParagraph"/>
        <w:widowControl/>
        <w:tabs>
          <w:tab w:val="left" w:pos="2835"/>
        </w:tabs>
        <w:spacing w:after="20"/>
        <w:ind w:left="714"/>
        <w:jc w:val="both"/>
      </w:pPr>
    </w:p>
    <w:p w14:paraId="3BBE37F2" w14:textId="77777777" w:rsidR="00AD25B4" w:rsidRDefault="00AD25B4" w:rsidP="007A67B5">
      <w:pPr>
        <w:ind w:right="-755"/>
      </w:pPr>
    </w:p>
    <w:p w14:paraId="585E61DB" w14:textId="77EF8B41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32A98D42" w14:textId="0A8345BB" w:rsidR="007A67B5" w:rsidRPr="00493227" w:rsidRDefault="007A67B5" w:rsidP="007A67B5">
      <w:pPr>
        <w:ind w:right="-755"/>
        <w:rPr>
          <w:rStyle w:val="Hyperlink"/>
          <w:color w:val="auto"/>
          <w:u w:val="none"/>
        </w:rPr>
      </w:pPr>
      <w:r w:rsidRPr="00C65182">
        <w:t xml:space="preserve">The role of the successful </w:t>
      </w:r>
      <w:r w:rsidR="00347ED7">
        <w:t xml:space="preserve">consumers </w:t>
      </w:r>
      <w:r>
        <w:t xml:space="preserve">will be to attend </w:t>
      </w:r>
      <w:r w:rsidR="00AA5E0A">
        <w:t>Project Steering Group</w:t>
      </w:r>
      <w:r>
        <w:t xml:space="preserve"> meetings </w:t>
      </w:r>
      <w:r w:rsidR="004D279E">
        <w:t xml:space="preserve">(meetings are held virtually) </w:t>
      </w:r>
      <w:r>
        <w:t xml:space="preserve">and to </w:t>
      </w:r>
      <w:r w:rsidR="00AA5E0A">
        <w:t xml:space="preserve">represent the consumer voice through </w:t>
      </w:r>
      <w:r>
        <w:t>a</w:t>
      </w:r>
      <w:r w:rsidRPr="00C65182">
        <w:t>ctive participat</w:t>
      </w:r>
      <w:r w:rsidR="00AA5E0A">
        <w:t>ion</w:t>
      </w:r>
      <w:r w:rsidRPr="00C65182">
        <w:t xml:space="preserve"> in all </w:t>
      </w:r>
      <w:r w:rsidR="004D279E">
        <w:t xml:space="preserve">meeting related </w:t>
      </w:r>
      <w:r w:rsidRPr="00C65182">
        <w:t xml:space="preserve">activities such as </w:t>
      </w:r>
      <w:r>
        <w:t xml:space="preserve">pre-meeting reading, discussions, provision of feedback and advice. </w:t>
      </w:r>
    </w:p>
    <w:p w14:paraId="2D9CFCD0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3DFE4202" w14:textId="77777777" w:rsidR="00AD25B4" w:rsidRDefault="00AD25B4" w:rsidP="00AD25B4">
      <w:pPr>
        <w:ind w:right="-755"/>
      </w:pPr>
      <w:r>
        <w:t>This opportunity would suit a consumer or carer representative who:</w:t>
      </w:r>
    </w:p>
    <w:p w14:paraId="5E371C98" w14:textId="77777777" w:rsidR="00AD25B4" w:rsidRDefault="00AD25B4" w:rsidP="00AD25B4">
      <w:pPr>
        <w:pStyle w:val="ListParagraph"/>
        <w:numPr>
          <w:ilvl w:val="0"/>
          <w:numId w:val="12"/>
        </w:numPr>
        <w:ind w:right="-755"/>
      </w:pPr>
      <w:r>
        <w:t xml:space="preserve">Has at least 6 months’ committee experience, either at the Hospital and Health Service, or Statewide level. </w:t>
      </w:r>
    </w:p>
    <w:p w14:paraId="0350D335" w14:textId="77777777" w:rsidR="00AD25B4" w:rsidRDefault="00AD25B4" w:rsidP="00AD25B4">
      <w:pPr>
        <w:pStyle w:val="ListParagraph"/>
        <w:numPr>
          <w:ilvl w:val="0"/>
          <w:numId w:val="12"/>
        </w:numPr>
        <w:ind w:right="-755"/>
      </w:pPr>
      <w:r>
        <w:t xml:space="preserve">Are living in North Queensland: </w:t>
      </w:r>
      <w:r w:rsidRPr="00B51D9D">
        <w:t>Mackay</w:t>
      </w:r>
      <w:r>
        <w:t xml:space="preserve">, Cairns, Torres and Cape, North West or Townsville </w:t>
      </w:r>
    </w:p>
    <w:p w14:paraId="4046E3DB" w14:textId="5136213C" w:rsidR="001531C4" w:rsidRDefault="00AD25B4" w:rsidP="001531C4">
      <w:pPr>
        <w:pStyle w:val="ListParagraph"/>
        <w:numPr>
          <w:ilvl w:val="0"/>
          <w:numId w:val="12"/>
        </w:numPr>
        <w:ind w:right="-755"/>
      </w:pPr>
      <w:r>
        <w:t xml:space="preserve">Has an interest or a lived experience or caring for someone with a </w:t>
      </w:r>
      <w:r w:rsidR="00FE286B">
        <w:t>related condition</w:t>
      </w:r>
      <w:r w:rsidR="001531C4">
        <w:t xml:space="preserve"> (</w:t>
      </w:r>
      <w:r w:rsidR="001531C4" w:rsidRPr="001531C4">
        <w:t>Kidney</w:t>
      </w:r>
      <w:r w:rsidR="001531C4">
        <w:t xml:space="preserve"> health, Surgical Services and Hospital in the Home or virtual care) </w:t>
      </w:r>
    </w:p>
    <w:p w14:paraId="4EC33F84" w14:textId="6AC414A2" w:rsidR="00AD25B4" w:rsidRDefault="001531C4" w:rsidP="00AD25B4">
      <w:pPr>
        <w:pStyle w:val="ListParagraph"/>
        <w:numPr>
          <w:ilvl w:val="0"/>
          <w:numId w:val="12"/>
        </w:numPr>
        <w:ind w:right="-755"/>
      </w:pPr>
      <w:r>
        <w:t xml:space="preserve">Has an interest in </w:t>
      </w:r>
      <w:r w:rsidR="00AD25B4">
        <w:t xml:space="preserve">rural and remote health. </w:t>
      </w:r>
    </w:p>
    <w:p w14:paraId="33688BB0" w14:textId="77777777" w:rsidR="00AD25B4" w:rsidRDefault="00AD25B4" w:rsidP="00AD25B4">
      <w:pPr>
        <w:ind w:right="-755"/>
      </w:pPr>
    </w:p>
    <w:p w14:paraId="4CC3BC86" w14:textId="77777777" w:rsidR="00AD25B4" w:rsidRPr="006A2CE2" w:rsidRDefault="00AD25B4" w:rsidP="00AD25B4">
      <w:pPr>
        <w:ind w:right="-755"/>
        <w:rPr>
          <w:rStyle w:val="Hyperlink"/>
          <w:color w:val="auto"/>
          <w:u w:val="none"/>
        </w:rPr>
      </w:pPr>
      <w:r>
        <w:t xml:space="preserve">We welcome people living in rural and remote areas and Aboriginal and or Torres Strait Islander consumer representatives to apply. </w:t>
      </w:r>
    </w:p>
    <w:p w14:paraId="71AE13B7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3E2487D5" w14:textId="77777777" w:rsidR="009449FA" w:rsidRDefault="008A33E5" w:rsidP="007A67B5">
      <w:pPr>
        <w:autoSpaceDE w:val="0"/>
        <w:autoSpaceDN w:val="0"/>
        <w:adjustRightInd w:val="0"/>
        <w:spacing w:after="120" w:line="240" w:lineRule="auto"/>
      </w:pPr>
      <w:r>
        <w:t xml:space="preserve">Meetings </w:t>
      </w:r>
      <w:r w:rsidR="00AD25B4">
        <w:t xml:space="preserve">will </w:t>
      </w:r>
      <w:r>
        <w:t>take place</w:t>
      </w:r>
      <w:r w:rsidR="00AD25B4">
        <w:t xml:space="preserve"> </w:t>
      </w:r>
      <w:r>
        <w:t>monthly</w:t>
      </w:r>
      <w:r w:rsidR="00AD25B4">
        <w:t xml:space="preserve"> for 1-1 ½ hours </w:t>
      </w:r>
      <w:r>
        <w:t>via videoconference</w:t>
      </w:r>
      <w:r w:rsidR="00AD25B4">
        <w:t xml:space="preserve"> and are scheduled until December 2020, the need for ongoing meetings will then be reviewed.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244"/>
        <w:gridCol w:w="1276"/>
        <w:gridCol w:w="1134"/>
        <w:gridCol w:w="1275"/>
        <w:gridCol w:w="1275"/>
      </w:tblGrid>
      <w:tr w:rsidR="009449FA" w14:paraId="4F4CD8E7" w14:textId="6DA48E99" w:rsidTr="00134CC9">
        <w:tc>
          <w:tcPr>
            <w:tcW w:w="1870" w:type="dxa"/>
            <w:shd w:val="clear" w:color="auto" w:fill="BFBFBF" w:themeFill="background1" w:themeFillShade="BF"/>
          </w:tcPr>
          <w:p w14:paraId="7EB92812" w14:textId="7B16626D" w:rsidR="009449FA" w:rsidRPr="009449FA" w:rsidRDefault="009449FA" w:rsidP="007A67B5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449FA">
              <w:rPr>
                <w:b/>
                <w:bCs/>
              </w:rPr>
              <w:t>Project Steering Group</w:t>
            </w:r>
          </w:p>
        </w:tc>
        <w:tc>
          <w:tcPr>
            <w:tcW w:w="1244" w:type="dxa"/>
            <w:shd w:val="clear" w:color="auto" w:fill="BFBFBF" w:themeFill="background1" w:themeFillShade="BF"/>
          </w:tcPr>
          <w:p w14:paraId="11CDBF50" w14:textId="77777777" w:rsidR="009449FA" w:rsidRPr="009449FA" w:rsidRDefault="009449FA" w:rsidP="007A67B5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449FA">
              <w:rPr>
                <w:b/>
                <w:bCs/>
              </w:rPr>
              <w:t xml:space="preserve">August </w:t>
            </w:r>
          </w:p>
          <w:p w14:paraId="204332CD" w14:textId="57DE9A2E" w:rsidR="009449FA" w:rsidRPr="009449FA" w:rsidRDefault="009449FA" w:rsidP="007A67B5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449FA">
              <w:rPr>
                <w:b/>
                <w:bCs/>
              </w:rPr>
              <w:t>2020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38127E6" w14:textId="77777777" w:rsidR="009449FA" w:rsidRPr="009449FA" w:rsidRDefault="009449FA" w:rsidP="007A67B5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449FA">
              <w:rPr>
                <w:b/>
                <w:bCs/>
              </w:rPr>
              <w:t xml:space="preserve">September </w:t>
            </w:r>
          </w:p>
          <w:p w14:paraId="4D00AA7A" w14:textId="7B666D6F" w:rsidR="009449FA" w:rsidRPr="009449FA" w:rsidRDefault="009449FA" w:rsidP="007A67B5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449FA">
              <w:rPr>
                <w:b/>
                <w:bCs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7968473" w14:textId="77777777" w:rsidR="009449FA" w:rsidRPr="009449FA" w:rsidRDefault="009449FA" w:rsidP="007A67B5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449FA">
              <w:rPr>
                <w:b/>
                <w:bCs/>
              </w:rPr>
              <w:t>October</w:t>
            </w:r>
          </w:p>
          <w:p w14:paraId="2D98F984" w14:textId="5B005867" w:rsidR="009449FA" w:rsidRPr="009449FA" w:rsidRDefault="009449FA" w:rsidP="007A67B5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449FA">
              <w:rPr>
                <w:b/>
                <w:bCs/>
              </w:rPr>
              <w:t>2020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30166E0" w14:textId="77777777" w:rsidR="009449FA" w:rsidRPr="009449FA" w:rsidRDefault="009449FA" w:rsidP="007A67B5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449FA">
              <w:rPr>
                <w:b/>
                <w:bCs/>
              </w:rPr>
              <w:t>November</w:t>
            </w:r>
          </w:p>
          <w:p w14:paraId="60A905B5" w14:textId="5CC8EB8D" w:rsidR="009449FA" w:rsidRPr="009449FA" w:rsidRDefault="009449FA" w:rsidP="007A67B5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449FA">
              <w:rPr>
                <w:b/>
                <w:bCs/>
              </w:rPr>
              <w:t>2020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C5ACEBD" w14:textId="77777777" w:rsidR="009449FA" w:rsidRPr="009449FA" w:rsidRDefault="009449FA" w:rsidP="007A67B5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449FA">
              <w:rPr>
                <w:b/>
                <w:bCs/>
              </w:rPr>
              <w:t xml:space="preserve">December </w:t>
            </w:r>
          </w:p>
          <w:p w14:paraId="5CFF8655" w14:textId="07D47360" w:rsidR="009449FA" w:rsidRPr="009449FA" w:rsidRDefault="009449FA" w:rsidP="007A67B5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449FA">
              <w:rPr>
                <w:b/>
                <w:bCs/>
              </w:rPr>
              <w:t>2020</w:t>
            </w:r>
          </w:p>
        </w:tc>
      </w:tr>
      <w:tr w:rsidR="009449FA" w14:paraId="04676E56" w14:textId="51D1435E" w:rsidTr="00134CC9">
        <w:tc>
          <w:tcPr>
            <w:tcW w:w="1870" w:type="dxa"/>
            <w:shd w:val="clear" w:color="auto" w:fill="BFBFBF" w:themeFill="background1" w:themeFillShade="BF"/>
          </w:tcPr>
          <w:p w14:paraId="522A0230" w14:textId="55DCFFC2" w:rsidR="009449FA" w:rsidRPr="009449FA" w:rsidRDefault="009449FA" w:rsidP="007A67B5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449FA">
              <w:rPr>
                <w:b/>
                <w:bCs/>
              </w:rPr>
              <w:t xml:space="preserve">NQ Kidney Transplant </w:t>
            </w:r>
          </w:p>
        </w:tc>
        <w:tc>
          <w:tcPr>
            <w:tcW w:w="1244" w:type="dxa"/>
          </w:tcPr>
          <w:p w14:paraId="7EAD1310" w14:textId="4CDF4E3E" w:rsidR="009449FA" w:rsidRDefault="005273E7" w:rsidP="007A67B5">
            <w:pPr>
              <w:autoSpaceDE w:val="0"/>
              <w:autoSpaceDN w:val="0"/>
              <w:adjustRightInd w:val="0"/>
              <w:spacing w:after="120"/>
            </w:pPr>
            <w:r>
              <w:t xml:space="preserve">Tues, </w:t>
            </w:r>
            <w:r w:rsidR="009449FA">
              <w:t>25</w:t>
            </w:r>
            <w:r w:rsidR="009449FA" w:rsidRPr="009449FA">
              <w:rPr>
                <w:vertAlign w:val="superscript"/>
              </w:rPr>
              <w:t>th</w:t>
            </w:r>
          </w:p>
          <w:p w14:paraId="30A2D756" w14:textId="14F18149" w:rsidR="009449FA" w:rsidRDefault="009449FA" w:rsidP="007A67B5">
            <w:pPr>
              <w:autoSpaceDE w:val="0"/>
              <w:autoSpaceDN w:val="0"/>
              <w:adjustRightInd w:val="0"/>
              <w:spacing w:after="120"/>
            </w:pPr>
            <w:r>
              <w:t>2.30-3.30</w:t>
            </w:r>
          </w:p>
        </w:tc>
        <w:tc>
          <w:tcPr>
            <w:tcW w:w="1276" w:type="dxa"/>
          </w:tcPr>
          <w:p w14:paraId="31F7D2E5" w14:textId="547D928B" w:rsidR="009449FA" w:rsidRDefault="005273E7" w:rsidP="007A67B5">
            <w:pPr>
              <w:autoSpaceDE w:val="0"/>
              <w:autoSpaceDN w:val="0"/>
              <w:adjustRightInd w:val="0"/>
              <w:spacing w:after="120"/>
            </w:pPr>
            <w:r>
              <w:t xml:space="preserve">Tues, </w:t>
            </w:r>
            <w:r w:rsidR="009449FA">
              <w:t>29</w:t>
            </w:r>
            <w:r w:rsidR="009449FA" w:rsidRPr="009449FA">
              <w:rPr>
                <w:vertAlign w:val="superscript"/>
              </w:rPr>
              <w:t>th</w:t>
            </w:r>
            <w:r w:rsidR="009449FA">
              <w:t xml:space="preserve"> </w:t>
            </w:r>
          </w:p>
          <w:p w14:paraId="722BC74B" w14:textId="01C30733" w:rsidR="009449FA" w:rsidRDefault="009449FA" w:rsidP="007A67B5">
            <w:pPr>
              <w:autoSpaceDE w:val="0"/>
              <w:autoSpaceDN w:val="0"/>
              <w:adjustRightInd w:val="0"/>
              <w:spacing w:after="120"/>
            </w:pPr>
            <w:r>
              <w:t>2.30-3.30</w:t>
            </w:r>
          </w:p>
        </w:tc>
        <w:tc>
          <w:tcPr>
            <w:tcW w:w="1134" w:type="dxa"/>
          </w:tcPr>
          <w:p w14:paraId="38761B47" w14:textId="46802C86" w:rsidR="005273E7" w:rsidRDefault="005273E7" w:rsidP="005273E7">
            <w:pPr>
              <w:autoSpaceDE w:val="0"/>
              <w:autoSpaceDN w:val="0"/>
              <w:adjustRightInd w:val="0"/>
              <w:spacing w:after="120"/>
            </w:pPr>
            <w:r>
              <w:t>Mon, 26</w:t>
            </w:r>
            <w:r w:rsidRPr="009449FA">
              <w:rPr>
                <w:vertAlign w:val="superscript"/>
              </w:rPr>
              <w:t>th</w:t>
            </w:r>
          </w:p>
          <w:p w14:paraId="14898C46" w14:textId="678D1F68" w:rsidR="009449FA" w:rsidRDefault="005273E7" w:rsidP="007A67B5">
            <w:pPr>
              <w:autoSpaceDE w:val="0"/>
              <w:autoSpaceDN w:val="0"/>
              <w:adjustRightInd w:val="0"/>
              <w:spacing w:after="120"/>
            </w:pPr>
            <w:r>
              <w:t>1.00-2.00</w:t>
            </w:r>
          </w:p>
        </w:tc>
        <w:tc>
          <w:tcPr>
            <w:tcW w:w="1275" w:type="dxa"/>
          </w:tcPr>
          <w:p w14:paraId="407BE18E" w14:textId="312CFF50" w:rsidR="009449FA" w:rsidRDefault="005273E7" w:rsidP="007A67B5">
            <w:pPr>
              <w:autoSpaceDE w:val="0"/>
              <w:autoSpaceDN w:val="0"/>
              <w:adjustRightInd w:val="0"/>
              <w:spacing w:after="120"/>
            </w:pPr>
            <w:r>
              <w:t xml:space="preserve">Mon, </w:t>
            </w:r>
            <w:r w:rsidR="009449FA">
              <w:t>30</w:t>
            </w:r>
            <w:r w:rsidR="009449FA" w:rsidRPr="009449FA">
              <w:rPr>
                <w:vertAlign w:val="superscript"/>
              </w:rPr>
              <w:t>th</w:t>
            </w:r>
          </w:p>
          <w:p w14:paraId="7BD70F00" w14:textId="215DBA72" w:rsidR="009449FA" w:rsidRDefault="009449FA" w:rsidP="007A67B5">
            <w:pPr>
              <w:autoSpaceDE w:val="0"/>
              <w:autoSpaceDN w:val="0"/>
              <w:adjustRightInd w:val="0"/>
              <w:spacing w:after="120"/>
            </w:pPr>
            <w:r>
              <w:t>12.30-1.30</w:t>
            </w:r>
          </w:p>
        </w:tc>
        <w:tc>
          <w:tcPr>
            <w:tcW w:w="1275" w:type="dxa"/>
          </w:tcPr>
          <w:p w14:paraId="64125AD7" w14:textId="1665AB90" w:rsidR="009449FA" w:rsidRDefault="009449FA" w:rsidP="007A67B5">
            <w:pPr>
              <w:autoSpaceDE w:val="0"/>
              <w:autoSpaceDN w:val="0"/>
              <w:adjustRightInd w:val="0"/>
              <w:spacing w:after="120"/>
            </w:pPr>
            <w:r>
              <w:t>END</w:t>
            </w:r>
          </w:p>
        </w:tc>
      </w:tr>
      <w:tr w:rsidR="009449FA" w14:paraId="42134419" w14:textId="2F33E750" w:rsidTr="00134CC9">
        <w:tc>
          <w:tcPr>
            <w:tcW w:w="1870" w:type="dxa"/>
            <w:shd w:val="clear" w:color="auto" w:fill="BFBFBF" w:themeFill="background1" w:themeFillShade="BF"/>
          </w:tcPr>
          <w:p w14:paraId="0F008C1F" w14:textId="018D4DC5" w:rsidR="009449FA" w:rsidRPr="009449FA" w:rsidRDefault="009449FA" w:rsidP="007A67B5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449FA">
              <w:rPr>
                <w:b/>
                <w:bCs/>
              </w:rPr>
              <w:t xml:space="preserve">NQ Networked Surgical Services </w:t>
            </w:r>
          </w:p>
        </w:tc>
        <w:tc>
          <w:tcPr>
            <w:tcW w:w="1244" w:type="dxa"/>
          </w:tcPr>
          <w:p w14:paraId="68348205" w14:textId="2B95FD34" w:rsidR="009449FA" w:rsidRDefault="005273E7" w:rsidP="007A67B5">
            <w:pPr>
              <w:autoSpaceDE w:val="0"/>
              <w:autoSpaceDN w:val="0"/>
              <w:adjustRightInd w:val="0"/>
              <w:spacing w:after="120"/>
            </w:pPr>
            <w:r>
              <w:t xml:space="preserve">Mon, </w:t>
            </w:r>
            <w:r w:rsidR="009449FA">
              <w:t>17</w:t>
            </w:r>
            <w:r w:rsidR="009449FA" w:rsidRPr="009449FA">
              <w:rPr>
                <w:vertAlign w:val="superscript"/>
              </w:rPr>
              <w:t>th</w:t>
            </w:r>
          </w:p>
          <w:p w14:paraId="230C418D" w14:textId="7AFAB7C6" w:rsidR="009449FA" w:rsidRDefault="009449FA" w:rsidP="007A67B5">
            <w:pPr>
              <w:autoSpaceDE w:val="0"/>
              <w:autoSpaceDN w:val="0"/>
              <w:adjustRightInd w:val="0"/>
              <w:spacing w:after="120"/>
            </w:pPr>
            <w:r>
              <w:t>1.00-2.30</w:t>
            </w:r>
          </w:p>
        </w:tc>
        <w:tc>
          <w:tcPr>
            <w:tcW w:w="1276" w:type="dxa"/>
          </w:tcPr>
          <w:p w14:paraId="3AAA0BA2" w14:textId="10130895" w:rsidR="009449FA" w:rsidRDefault="005273E7" w:rsidP="007A67B5">
            <w:pPr>
              <w:autoSpaceDE w:val="0"/>
              <w:autoSpaceDN w:val="0"/>
              <w:adjustRightInd w:val="0"/>
              <w:spacing w:after="120"/>
            </w:pPr>
            <w:r>
              <w:t xml:space="preserve">Weds, </w:t>
            </w:r>
            <w:r w:rsidR="009449FA">
              <w:t>16</w:t>
            </w:r>
            <w:r w:rsidR="009449FA" w:rsidRPr="009449FA">
              <w:rPr>
                <w:vertAlign w:val="superscript"/>
              </w:rPr>
              <w:t>th</w:t>
            </w:r>
          </w:p>
          <w:p w14:paraId="283B9238" w14:textId="11578E3B" w:rsidR="009449FA" w:rsidRDefault="009449FA" w:rsidP="007A67B5">
            <w:pPr>
              <w:autoSpaceDE w:val="0"/>
              <w:autoSpaceDN w:val="0"/>
              <w:adjustRightInd w:val="0"/>
              <w:spacing w:after="120"/>
            </w:pPr>
            <w:r>
              <w:t>2.00-3.30</w:t>
            </w:r>
          </w:p>
        </w:tc>
        <w:tc>
          <w:tcPr>
            <w:tcW w:w="1134" w:type="dxa"/>
          </w:tcPr>
          <w:p w14:paraId="4426F094" w14:textId="67D8D9CD" w:rsidR="009449FA" w:rsidRDefault="005273E7" w:rsidP="007A67B5">
            <w:pPr>
              <w:autoSpaceDE w:val="0"/>
              <w:autoSpaceDN w:val="0"/>
              <w:adjustRightInd w:val="0"/>
              <w:spacing w:after="120"/>
            </w:pPr>
            <w:r>
              <w:t xml:space="preserve">Mon, </w:t>
            </w:r>
            <w:r w:rsidR="009449FA">
              <w:t>19</w:t>
            </w:r>
            <w:r w:rsidR="009449FA" w:rsidRPr="009449FA">
              <w:rPr>
                <w:vertAlign w:val="superscript"/>
              </w:rPr>
              <w:t>th</w:t>
            </w:r>
          </w:p>
          <w:p w14:paraId="10653993" w14:textId="67544ACD" w:rsidR="009449FA" w:rsidRDefault="009449FA" w:rsidP="007A67B5">
            <w:pPr>
              <w:autoSpaceDE w:val="0"/>
              <w:autoSpaceDN w:val="0"/>
              <w:adjustRightInd w:val="0"/>
              <w:spacing w:after="120"/>
            </w:pPr>
            <w:r>
              <w:t>1.30-3.00</w:t>
            </w:r>
          </w:p>
        </w:tc>
        <w:tc>
          <w:tcPr>
            <w:tcW w:w="1275" w:type="dxa"/>
          </w:tcPr>
          <w:p w14:paraId="26FBA24C" w14:textId="788E5076" w:rsidR="009449FA" w:rsidRDefault="005273E7" w:rsidP="007A67B5">
            <w:pPr>
              <w:autoSpaceDE w:val="0"/>
              <w:autoSpaceDN w:val="0"/>
              <w:adjustRightInd w:val="0"/>
              <w:spacing w:after="120"/>
            </w:pPr>
            <w:r>
              <w:t xml:space="preserve">Weds, </w:t>
            </w:r>
            <w:r w:rsidR="009449FA">
              <w:t>25</w:t>
            </w:r>
            <w:r w:rsidR="009449FA" w:rsidRPr="009449FA">
              <w:rPr>
                <w:vertAlign w:val="superscript"/>
              </w:rPr>
              <w:t>th</w:t>
            </w:r>
          </w:p>
          <w:p w14:paraId="165E7DF8" w14:textId="1EF42BE6" w:rsidR="009449FA" w:rsidRDefault="009449FA" w:rsidP="007A67B5">
            <w:pPr>
              <w:autoSpaceDE w:val="0"/>
              <w:autoSpaceDN w:val="0"/>
              <w:adjustRightInd w:val="0"/>
              <w:spacing w:after="120"/>
            </w:pPr>
            <w:r>
              <w:t>3.00-4.30</w:t>
            </w:r>
          </w:p>
        </w:tc>
        <w:tc>
          <w:tcPr>
            <w:tcW w:w="1275" w:type="dxa"/>
          </w:tcPr>
          <w:p w14:paraId="5262E7D9" w14:textId="6E4ED657" w:rsidR="009449FA" w:rsidRDefault="005273E7" w:rsidP="007A67B5">
            <w:pPr>
              <w:autoSpaceDE w:val="0"/>
              <w:autoSpaceDN w:val="0"/>
              <w:adjustRightInd w:val="0"/>
              <w:spacing w:after="120"/>
            </w:pPr>
            <w:r>
              <w:t xml:space="preserve">Tues, </w:t>
            </w:r>
            <w:r w:rsidR="009449FA">
              <w:t>22</w:t>
            </w:r>
            <w:r w:rsidR="009449FA" w:rsidRPr="009449FA">
              <w:rPr>
                <w:vertAlign w:val="superscript"/>
              </w:rPr>
              <w:t>nd</w:t>
            </w:r>
            <w:r w:rsidR="009449FA">
              <w:t xml:space="preserve"> </w:t>
            </w:r>
          </w:p>
          <w:p w14:paraId="753DAF8B" w14:textId="61F36B29" w:rsidR="009449FA" w:rsidRDefault="009449FA" w:rsidP="007A67B5">
            <w:pPr>
              <w:autoSpaceDE w:val="0"/>
              <w:autoSpaceDN w:val="0"/>
              <w:adjustRightInd w:val="0"/>
              <w:spacing w:after="120"/>
            </w:pPr>
            <w:r>
              <w:t>1.30-3.00</w:t>
            </w:r>
          </w:p>
        </w:tc>
      </w:tr>
      <w:tr w:rsidR="009449FA" w14:paraId="6D38C767" w14:textId="5A844C46" w:rsidTr="00134CC9">
        <w:tc>
          <w:tcPr>
            <w:tcW w:w="1870" w:type="dxa"/>
            <w:shd w:val="clear" w:color="auto" w:fill="BFBFBF" w:themeFill="background1" w:themeFillShade="BF"/>
          </w:tcPr>
          <w:p w14:paraId="782844FA" w14:textId="06F2AF61" w:rsidR="009449FA" w:rsidRPr="009449FA" w:rsidRDefault="009449FA" w:rsidP="007A67B5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9449FA">
              <w:rPr>
                <w:b/>
                <w:bCs/>
              </w:rPr>
              <w:t xml:space="preserve">NQ Healthcare in the Home </w:t>
            </w:r>
          </w:p>
        </w:tc>
        <w:tc>
          <w:tcPr>
            <w:tcW w:w="1244" w:type="dxa"/>
          </w:tcPr>
          <w:p w14:paraId="496B421C" w14:textId="491B00E4" w:rsidR="009449FA" w:rsidRDefault="005273E7" w:rsidP="007A67B5">
            <w:pPr>
              <w:autoSpaceDE w:val="0"/>
              <w:autoSpaceDN w:val="0"/>
              <w:adjustRightInd w:val="0"/>
              <w:spacing w:after="120"/>
            </w:pPr>
            <w:r>
              <w:t xml:space="preserve">Fri, </w:t>
            </w:r>
            <w:r w:rsidR="009449FA">
              <w:t>14</w:t>
            </w:r>
            <w:r w:rsidR="009449FA" w:rsidRPr="009449FA">
              <w:rPr>
                <w:vertAlign w:val="superscript"/>
              </w:rPr>
              <w:t>th</w:t>
            </w:r>
            <w:r w:rsidR="009449FA">
              <w:t xml:space="preserve"> </w:t>
            </w:r>
          </w:p>
          <w:p w14:paraId="3BEB191E" w14:textId="15DB8AF5" w:rsidR="009449FA" w:rsidRDefault="009449FA" w:rsidP="007A67B5">
            <w:pPr>
              <w:autoSpaceDE w:val="0"/>
              <w:autoSpaceDN w:val="0"/>
              <w:adjustRightInd w:val="0"/>
              <w:spacing w:after="120"/>
            </w:pPr>
            <w:r>
              <w:t>2.00-3.30</w:t>
            </w:r>
          </w:p>
        </w:tc>
        <w:tc>
          <w:tcPr>
            <w:tcW w:w="1276" w:type="dxa"/>
          </w:tcPr>
          <w:p w14:paraId="72FEAADE" w14:textId="4D511BA0" w:rsidR="009449FA" w:rsidRDefault="005273E7" w:rsidP="007A67B5">
            <w:pPr>
              <w:autoSpaceDE w:val="0"/>
              <w:autoSpaceDN w:val="0"/>
              <w:adjustRightInd w:val="0"/>
              <w:spacing w:after="120"/>
            </w:pPr>
            <w:r>
              <w:t xml:space="preserve">Fri, </w:t>
            </w:r>
            <w:r w:rsidR="009449FA">
              <w:t>11</w:t>
            </w:r>
            <w:r w:rsidR="009449FA" w:rsidRPr="009449FA">
              <w:rPr>
                <w:vertAlign w:val="superscript"/>
              </w:rPr>
              <w:t>th</w:t>
            </w:r>
          </w:p>
          <w:p w14:paraId="452F55C3" w14:textId="32AA125F" w:rsidR="009449FA" w:rsidRDefault="009449FA" w:rsidP="007A67B5">
            <w:pPr>
              <w:autoSpaceDE w:val="0"/>
              <w:autoSpaceDN w:val="0"/>
              <w:adjustRightInd w:val="0"/>
              <w:spacing w:after="120"/>
            </w:pPr>
            <w:r>
              <w:t>2.00-3.30</w:t>
            </w:r>
          </w:p>
        </w:tc>
        <w:tc>
          <w:tcPr>
            <w:tcW w:w="1134" w:type="dxa"/>
          </w:tcPr>
          <w:p w14:paraId="31683724" w14:textId="35A0A543" w:rsidR="005273E7" w:rsidRDefault="005273E7" w:rsidP="005273E7">
            <w:pPr>
              <w:autoSpaceDE w:val="0"/>
              <w:autoSpaceDN w:val="0"/>
              <w:adjustRightInd w:val="0"/>
              <w:spacing w:after="120"/>
            </w:pPr>
            <w:r>
              <w:t>Fri, 9</w:t>
            </w:r>
            <w:r w:rsidRPr="009449FA">
              <w:rPr>
                <w:vertAlign w:val="superscript"/>
              </w:rPr>
              <w:t>th</w:t>
            </w:r>
          </w:p>
          <w:p w14:paraId="43F9E6B7" w14:textId="06182697" w:rsidR="009449FA" w:rsidRDefault="005273E7" w:rsidP="005273E7">
            <w:pPr>
              <w:autoSpaceDE w:val="0"/>
              <w:autoSpaceDN w:val="0"/>
              <w:adjustRightInd w:val="0"/>
              <w:spacing w:after="120"/>
            </w:pPr>
            <w:r>
              <w:t>2.30-3.30</w:t>
            </w:r>
          </w:p>
        </w:tc>
        <w:tc>
          <w:tcPr>
            <w:tcW w:w="1275" w:type="dxa"/>
          </w:tcPr>
          <w:p w14:paraId="146560FC" w14:textId="75E9F376" w:rsidR="009449FA" w:rsidRDefault="005273E7" w:rsidP="007A67B5">
            <w:pPr>
              <w:autoSpaceDE w:val="0"/>
              <w:autoSpaceDN w:val="0"/>
              <w:adjustRightInd w:val="0"/>
              <w:spacing w:after="120"/>
            </w:pPr>
            <w:r>
              <w:t xml:space="preserve">Fri, </w:t>
            </w:r>
            <w:r w:rsidR="009449FA">
              <w:t>13</w:t>
            </w:r>
            <w:r w:rsidR="009449FA" w:rsidRPr="009449FA">
              <w:rPr>
                <w:vertAlign w:val="superscript"/>
              </w:rPr>
              <w:t>th</w:t>
            </w:r>
          </w:p>
          <w:p w14:paraId="6514E241" w14:textId="6C4DE43E" w:rsidR="009449FA" w:rsidRDefault="009449FA" w:rsidP="007A67B5">
            <w:pPr>
              <w:autoSpaceDE w:val="0"/>
              <w:autoSpaceDN w:val="0"/>
              <w:adjustRightInd w:val="0"/>
              <w:spacing w:after="120"/>
            </w:pPr>
            <w:r>
              <w:t>2.00-3.30</w:t>
            </w:r>
          </w:p>
        </w:tc>
        <w:tc>
          <w:tcPr>
            <w:tcW w:w="1275" w:type="dxa"/>
          </w:tcPr>
          <w:p w14:paraId="6ADBDD7B" w14:textId="11B0C61A" w:rsidR="009449FA" w:rsidRDefault="005273E7" w:rsidP="009449FA">
            <w:pPr>
              <w:autoSpaceDE w:val="0"/>
              <w:autoSpaceDN w:val="0"/>
              <w:adjustRightInd w:val="0"/>
              <w:spacing w:after="120"/>
            </w:pPr>
            <w:r>
              <w:t xml:space="preserve">Fri, </w:t>
            </w:r>
            <w:r w:rsidR="009449FA">
              <w:t>11</w:t>
            </w:r>
            <w:r w:rsidR="009449FA" w:rsidRPr="009449FA">
              <w:rPr>
                <w:vertAlign w:val="superscript"/>
              </w:rPr>
              <w:t>th</w:t>
            </w:r>
          </w:p>
          <w:p w14:paraId="206EFF1C" w14:textId="0FCCA89B" w:rsidR="009449FA" w:rsidRDefault="009449FA" w:rsidP="009449FA">
            <w:pPr>
              <w:autoSpaceDE w:val="0"/>
              <w:autoSpaceDN w:val="0"/>
              <w:adjustRightInd w:val="0"/>
              <w:spacing w:after="120"/>
            </w:pPr>
            <w:r>
              <w:t>2.00-3.30</w:t>
            </w:r>
          </w:p>
        </w:tc>
      </w:tr>
    </w:tbl>
    <w:p w14:paraId="208271CA" w14:textId="702E5FF7" w:rsidR="008A33E5" w:rsidRDefault="008A33E5" w:rsidP="007A67B5">
      <w:pPr>
        <w:autoSpaceDE w:val="0"/>
        <w:autoSpaceDN w:val="0"/>
        <w:adjustRightInd w:val="0"/>
        <w:spacing w:after="120" w:line="240" w:lineRule="auto"/>
      </w:pPr>
    </w:p>
    <w:p w14:paraId="7F5FD27C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376184A5" w14:textId="3A069FB5" w:rsidR="005D726A" w:rsidRDefault="007A67B5" w:rsidP="007A67B5">
      <w:r w:rsidRPr="001D07AB">
        <w:t xml:space="preserve">Consumers will be remunerated for their time in line with </w:t>
      </w:r>
      <w:hyperlink r:id="rId10" w:history="1">
        <w:r w:rsidRPr="001D07AB">
          <w:rPr>
            <w:rStyle w:val="Hyperlink"/>
          </w:rPr>
          <w:t>Health Consumers Queensland’s remuneration position statement</w:t>
        </w:r>
      </w:hyperlink>
      <w:r w:rsidRPr="001D07AB">
        <w:t>. Parking and travel expenses will be covered.</w:t>
      </w:r>
      <w:r>
        <w:t xml:space="preserve"> </w:t>
      </w:r>
    </w:p>
    <w:p w14:paraId="2B29B16E" w14:textId="1D4A3CD1" w:rsidR="00FE286B" w:rsidRPr="00FE286B" w:rsidRDefault="00FE286B" w:rsidP="007A67B5">
      <w:pPr>
        <w:rPr>
          <w:lang w:val="en-AU"/>
        </w:rPr>
      </w:pPr>
      <w:r w:rsidRPr="007519CC">
        <w:rPr>
          <w:lang w:val="en-AU"/>
        </w:rPr>
        <w:t xml:space="preserve">Support and information will be provided by the secretariat of the committee. </w:t>
      </w:r>
    </w:p>
    <w:p w14:paraId="332A7D24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lastRenderedPageBreak/>
        <w:t>How to apply</w:t>
      </w:r>
    </w:p>
    <w:p w14:paraId="000FA7B2" w14:textId="77777777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1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996C71">
        <w:rPr>
          <w:rStyle w:val="Hyperlink"/>
          <w:color w:val="auto"/>
          <w:u w:val="none"/>
        </w:rPr>
        <w:t xml:space="preserve">by </w:t>
      </w:r>
      <w:r w:rsidR="005D726A">
        <w:rPr>
          <w:rStyle w:val="Hyperlink"/>
          <w:color w:val="auto"/>
          <w:u w:val="none"/>
        </w:rPr>
        <w:t>(Insert date)</w:t>
      </w:r>
      <w:r w:rsidRPr="00996C71">
        <w:rPr>
          <w:rStyle w:val="Hyperlink"/>
          <w:color w:val="auto"/>
          <w:u w:val="none"/>
        </w:rPr>
        <w:t>.</w:t>
      </w:r>
      <w:r w:rsidRPr="00996C71">
        <w:rPr>
          <w:rStyle w:val="Hyperlink"/>
          <w:b/>
          <w:color w:val="auto"/>
        </w:rPr>
        <w:t xml:space="preserve"> </w:t>
      </w:r>
    </w:p>
    <w:p w14:paraId="73A1146E" w14:textId="77777777" w:rsidR="007A67B5" w:rsidRDefault="007A67B5" w:rsidP="007A67B5">
      <w:r w:rsidRPr="00F274C6">
        <w:t xml:space="preserve">For assistance please contact Health Consumers Queensland via </w:t>
      </w:r>
      <w:hyperlink r:id="rId12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1FB7C621" w14:textId="5E3BA658" w:rsidR="001531C4" w:rsidRDefault="001531C4" w:rsidP="00134CC9">
      <w:pPr>
        <w:rPr>
          <w:b/>
          <w:sz w:val="32"/>
          <w:szCs w:val="24"/>
        </w:rPr>
      </w:pPr>
    </w:p>
    <w:p w14:paraId="401BC0B9" w14:textId="34D9B9C0" w:rsidR="001531C4" w:rsidRDefault="007A67B5" w:rsidP="001531C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  <w:r w:rsidR="001531C4">
        <w:rPr>
          <w:b/>
          <w:sz w:val="32"/>
          <w:szCs w:val="24"/>
        </w:rPr>
        <w:t xml:space="preserve"> </w:t>
      </w:r>
    </w:p>
    <w:p w14:paraId="7277385E" w14:textId="2A775C46" w:rsidR="00947678" w:rsidRPr="00996C71" w:rsidRDefault="001531C4" w:rsidP="001531C4">
      <w:pPr>
        <w:jc w:val="center"/>
        <w:rPr>
          <w:b/>
          <w:sz w:val="32"/>
          <w:szCs w:val="24"/>
        </w:rPr>
      </w:pPr>
      <w:r w:rsidRPr="001531C4">
        <w:rPr>
          <w:b/>
          <w:sz w:val="32"/>
          <w:szCs w:val="24"/>
        </w:rPr>
        <w:t>Better He</w:t>
      </w:r>
      <w:r>
        <w:rPr>
          <w:b/>
          <w:sz w:val="32"/>
          <w:szCs w:val="24"/>
        </w:rPr>
        <w:t>alth NQ: Project Steering Groups</w:t>
      </w:r>
    </w:p>
    <w:p w14:paraId="62BA54A6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214E50BA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547BC30A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2AF63DD0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43AE0C9C" w14:textId="70481460" w:rsidR="008C3230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71DD008B" w14:textId="34D3F7F0" w:rsidR="00FA4766" w:rsidRPr="00F373C7" w:rsidRDefault="009A7D3B" w:rsidP="00FA4766">
      <w:pPr>
        <w:spacing w:after="40" w:line="276" w:lineRule="auto"/>
        <w:rPr>
          <w:b/>
        </w:rPr>
      </w:pPr>
      <w:r>
        <w:rPr>
          <w:rFonts w:cstheme="minorHAnsi"/>
          <w:b/>
        </w:rPr>
        <w:t>Please</w:t>
      </w:r>
      <w:r w:rsidR="003F5BF0">
        <w:rPr>
          <w:rFonts w:cstheme="minorHAnsi"/>
          <w:b/>
        </w:rPr>
        <w:t xml:space="preserve"> tick/highlight </w:t>
      </w:r>
      <w:r w:rsidR="00197585">
        <w:rPr>
          <w:rFonts w:cstheme="minorHAnsi"/>
          <w:b/>
        </w:rPr>
        <w:t>the</w:t>
      </w:r>
      <w:r>
        <w:rPr>
          <w:rFonts w:cstheme="minorHAnsi"/>
          <w:b/>
        </w:rPr>
        <w:t xml:space="preserve"> </w:t>
      </w:r>
      <w:r w:rsidR="00FA4766" w:rsidRPr="00F373C7">
        <w:rPr>
          <w:b/>
        </w:rPr>
        <w:t>Project Steering Group</w:t>
      </w:r>
      <w:r w:rsidR="00134CC9">
        <w:rPr>
          <w:b/>
        </w:rPr>
        <w:t>/s</w:t>
      </w:r>
      <w:r>
        <w:rPr>
          <w:b/>
        </w:rPr>
        <w:t xml:space="preserve"> you are </w:t>
      </w:r>
      <w:r w:rsidR="00E010CD" w:rsidRPr="00F373C7">
        <w:rPr>
          <w:b/>
        </w:rPr>
        <w:t>applying for (</w:t>
      </w:r>
      <w:r w:rsidR="00F373C7">
        <w:rPr>
          <w:b/>
        </w:rPr>
        <w:t>please tick</w:t>
      </w:r>
      <w:r>
        <w:rPr>
          <w:b/>
        </w:rPr>
        <w:t xml:space="preserve"> all that apply</w:t>
      </w:r>
      <w:r w:rsidR="00992A94">
        <w:t xml:space="preserve">, </w:t>
      </w:r>
      <w:r w:rsidR="00992A94" w:rsidRPr="00992A94">
        <w:rPr>
          <w:b/>
        </w:rPr>
        <w:t>If</w:t>
      </w:r>
      <w:r w:rsidR="00992A94">
        <w:rPr>
          <w:b/>
        </w:rPr>
        <w:t xml:space="preserve"> you are</w:t>
      </w:r>
      <w:r w:rsidR="00992A94" w:rsidRPr="00992A94">
        <w:rPr>
          <w:b/>
        </w:rPr>
        <w:t xml:space="preserve"> in</w:t>
      </w:r>
      <w:r w:rsidR="00992A94">
        <w:rPr>
          <w:b/>
        </w:rPr>
        <w:t>terested in more than one group</w:t>
      </w:r>
      <w:r>
        <w:rPr>
          <w:b/>
        </w:rPr>
        <w:t>)</w:t>
      </w:r>
      <w:r w:rsidR="00E010CD" w:rsidRPr="00F373C7">
        <w:rPr>
          <w:b/>
        </w:rPr>
        <w:t xml:space="preserve"> </w:t>
      </w:r>
      <w:r w:rsidR="00FA4766" w:rsidRPr="00F373C7">
        <w:rPr>
          <w:b/>
        </w:rPr>
        <w:t xml:space="preserve"> </w:t>
      </w:r>
    </w:p>
    <w:p w14:paraId="466AC2DE" w14:textId="56D2F680" w:rsidR="00FA4766" w:rsidRPr="004F6B96" w:rsidRDefault="00FA4766" w:rsidP="00FA4766">
      <w:pPr>
        <w:pStyle w:val="ListParagraph"/>
        <w:numPr>
          <w:ilvl w:val="0"/>
          <w:numId w:val="13"/>
        </w:numPr>
        <w:spacing w:after="40" w:line="276" w:lineRule="auto"/>
      </w:pPr>
      <w:r w:rsidRPr="004F6B96">
        <w:rPr>
          <w:bCs/>
        </w:rPr>
        <w:t>NQ Kidney Transplant Project Steering Group</w:t>
      </w:r>
    </w:p>
    <w:p w14:paraId="08C2878F" w14:textId="1A070F21" w:rsidR="00FA4766" w:rsidRPr="004F6B96" w:rsidRDefault="00FA4766" w:rsidP="00FA4766">
      <w:pPr>
        <w:pStyle w:val="ListParagraph"/>
        <w:numPr>
          <w:ilvl w:val="0"/>
          <w:numId w:val="13"/>
        </w:numPr>
        <w:spacing w:after="40" w:line="276" w:lineRule="auto"/>
      </w:pPr>
      <w:r w:rsidRPr="004F6B96">
        <w:rPr>
          <w:bCs/>
        </w:rPr>
        <w:t>NQ Networked Surgical Services</w:t>
      </w:r>
      <w:r w:rsidR="004F6B96" w:rsidRPr="004F6B96">
        <w:rPr>
          <w:bCs/>
        </w:rPr>
        <w:t xml:space="preserve"> Project Steering Group</w:t>
      </w:r>
    </w:p>
    <w:p w14:paraId="1842A894" w14:textId="6EBDB2A5" w:rsidR="00FA4766" w:rsidRPr="004F6B96" w:rsidRDefault="00FA4766" w:rsidP="008C3230">
      <w:pPr>
        <w:pStyle w:val="ListParagraph"/>
        <w:numPr>
          <w:ilvl w:val="0"/>
          <w:numId w:val="13"/>
        </w:numPr>
        <w:spacing w:after="40" w:line="276" w:lineRule="auto"/>
      </w:pPr>
      <w:r w:rsidRPr="004F6B96">
        <w:rPr>
          <w:bCs/>
        </w:rPr>
        <w:t>NQ Healthcare in the Home</w:t>
      </w:r>
      <w:r w:rsidR="004F6B96" w:rsidRPr="004F6B96">
        <w:rPr>
          <w:bCs/>
        </w:rPr>
        <w:t xml:space="preserve"> Project Steering Group</w:t>
      </w:r>
    </w:p>
    <w:p w14:paraId="0726916B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DA57A0E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</w:t>
      </w:r>
      <w:bookmarkStart w:id="1" w:name="_GoBack"/>
      <w:bookmarkEnd w:id="1"/>
      <w:r w:rsidRPr="00567FA9">
        <w:rPr>
          <w:rFonts w:asciiTheme="minorHAnsi" w:hAnsiTheme="minorHAnsi" w:cstheme="minorHAnsi"/>
          <w:color w:val="auto"/>
          <w:sz w:val="22"/>
        </w:rPr>
        <w:t xml:space="preserve">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0048502B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71383671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148D8F6E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3"/>
          <w:footerReference w:type="default" r:id="rId14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15C432EC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22E257E9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605346C1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CE5465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07889151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1D3B9630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11FD670A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1669591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lastRenderedPageBreak/>
        <w:t>From a non-English speaking background</w:t>
      </w:r>
    </w:p>
    <w:p w14:paraId="1784B897" w14:textId="77777777" w:rsidR="00B75112" w:rsidRPr="00567FA9" w:rsidRDefault="00B75112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59AA3552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1CC7B07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4C98BF7E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14:paraId="1AF719AB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14A0873F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D71325B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2AA5CF49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41354E01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0DF1AC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FD1845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98DF2A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B62EC3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2CED3E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964DD9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34FE63D7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1E490307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7205E7CD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79A8F84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2F80B876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783143DB" w14:textId="77777777" w:rsidR="00553171" w:rsidRPr="00567FA9" w:rsidRDefault="0075352C" w:rsidP="0075352C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5052338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you’re expressing interest in. Give an indication of how long each position was for, and any relevant highlights. </w:t>
      </w:r>
    </w:p>
    <w:p w14:paraId="0124DC29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7E1EC8F0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7E0F9A4B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379F2569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6F6AF1DA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74CD27B0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7D786F90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105CE56C" w14:textId="77777777" w:rsidR="008012D5" w:rsidRPr="00480614" w:rsidRDefault="00AF4875" w:rsidP="00480614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(e.g.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56DA0852" w14:textId="77777777" w:rsidR="008012D5" w:rsidRPr="00567FA9" w:rsidRDefault="008012D5" w:rsidP="00553171">
      <w:pPr>
        <w:pStyle w:val="TableParagraph"/>
        <w:spacing w:before="118"/>
      </w:pPr>
    </w:p>
    <w:p w14:paraId="057E1273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0968564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9882F56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88CC032" w14:textId="77777777" w:rsidR="00C532E7" w:rsidRPr="00567FA9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AB622B9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85EBD8C" w14:textId="3E2557A1" w:rsidR="008012D5" w:rsidRPr="00480614" w:rsidRDefault="00E82D04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</w:rPr>
      </w:pPr>
      <w:r w:rsidRPr="00E82D04">
        <w:rPr>
          <w:rFonts w:asciiTheme="minorHAnsi" w:hAnsiTheme="minorHAnsi" w:cstheme="minorHAnsi"/>
          <w:color w:val="auto"/>
          <w:sz w:val="22"/>
        </w:rPr>
        <w:t>Please describe your interest i</w:t>
      </w:r>
      <w:r w:rsidR="00F5207E">
        <w:rPr>
          <w:rFonts w:asciiTheme="minorHAnsi" w:hAnsiTheme="minorHAnsi" w:cstheme="minorHAnsi"/>
          <w:color w:val="auto"/>
          <w:sz w:val="22"/>
        </w:rPr>
        <w:t xml:space="preserve">n the above Steering Group that you are applying for (Kidney health, Surgical Services or Hospital in the Home/Virtual Health Care) </w:t>
      </w:r>
      <w:r w:rsidR="008012D5" w:rsidRPr="0048061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Tip: Although this section usually requires the longest response, try to keep it concise. Things to consider focusing on here include:</w:t>
      </w:r>
    </w:p>
    <w:p w14:paraId="359A4906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</w:p>
    <w:p w14:paraId="7AF0489D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or</w:t>
      </w:r>
    </w:p>
    <w:p w14:paraId="6F1E9C47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Any systems change that you have identified that will improve care for health consumers, and possible strategies you could share to affect that change.  </w:t>
      </w:r>
    </w:p>
    <w:p w14:paraId="5CB21ECE" w14:textId="2096175F" w:rsidR="00F5207E" w:rsidRPr="00F5207E" w:rsidRDefault="00F5207E" w:rsidP="00F5207E">
      <w:pPr>
        <w:spacing w:after="40" w:line="276" w:lineRule="auto"/>
        <w:rPr>
          <w:rFonts w:cstheme="minorHAnsi"/>
          <w:b/>
          <w:i/>
          <w:color w:val="808080" w:themeColor="background1" w:themeShade="80"/>
        </w:rPr>
      </w:pPr>
    </w:p>
    <w:p w14:paraId="5C2C28E3" w14:textId="37DABFA3" w:rsidR="00F5207E" w:rsidRDefault="00F5207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DF69D2A" w14:textId="3A6B9438" w:rsidR="00F5207E" w:rsidRDefault="00F5207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4C2200FC" w14:textId="77777777" w:rsidR="00F5207E" w:rsidRPr="00567FA9" w:rsidRDefault="00F5207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6ED1C70" w14:textId="77777777"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provide contact details for a staff member from a health service or department you are currently partnering with. (we will advise if you are shortlisted before we contact your referee).</w:t>
      </w:r>
    </w:p>
    <w:p w14:paraId="6168DC16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0ED02B4F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631A3E14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00CC70F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</w:t>
      </w:r>
      <w:proofErr w:type="spellStart"/>
      <w:r w:rsidRPr="00567FA9">
        <w:rPr>
          <w:rFonts w:asciiTheme="minorHAnsi" w:hAnsiTheme="minorHAnsi" w:cstheme="minorHAnsi"/>
          <w:b w:val="0"/>
          <w:color w:val="auto"/>
          <w:sz w:val="22"/>
        </w:rPr>
        <w:t>eg</w:t>
      </w:r>
      <w:proofErr w:type="spellEnd"/>
      <w:r w:rsidRPr="00567FA9">
        <w:rPr>
          <w:rFonts w:asciiTheme="minorHAnsi" w:hAnsiTheme="minorHAnsi" w:cstheme="minorHAnsi"/>
          <w:b w:val="0"/>
          <w:color w:val="auto"/>
          <w:sz w:val="22"/>
        </w:rPr>
        <w:t>. Committee Chair):</w:t>
      </w:r>
    </w:p>
    <w:p w14:paraId="3E1581B4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5A1D9A0D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3CABCADA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2591D6C7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8BDA4" w14:textId="77777777" w:rsidR="00D7586C" w:rsidRDefault="00D7586C" w:rsidP="007B1118">
      <w:pPr>
        <w:spacing w:after="0" w:line="240" w:lineRule="auto"/>
      </w:pPr>
      <w:r>
        <w:separator/>
      </w:r>
    </w:p>
  </w:endnote>
  <w:endnote w:type="continuationSeparator" w:id="0">
    <w:p w14:paraId="4A6A53D5" w14:textId="77777777" w:rsidR="00D7586C" w:rsidRDefault="00D7586C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12E78" w14:textId="785EF11E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C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50A9A2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95201" w14:textId="77777777" w:rsidR="00D7586C" w:rsidRDefault="00D7586C" w:rsidP="007B1118">
      <w:pPr>
        <w:spacing w:after="0" w:line="240" w:lineRule="auto"/>
      </w:pPr>
      <w:r>
        <w:separator/>
      </w:r>
    </w:p>
  </w:footnote>
  <w:footnote w:type="continuationSeparator" w:id="0">
    <w:p w14:paraId="1B40CAC7" w14:textId="77777777" w:rsidR="00D7586C" w:rsidRDefault="00D7586C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259A2646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775C28E7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408F60E3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25BB04C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12B211DE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54643C8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2471E5F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21B75E71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5784B47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03DAC245" wp14:editId="7A5B776D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190CF8F4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12AED890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CFC"/>
    <w:multiLevelType w:val="hybridMultilevel"/>
    <w:tmpl w:val="6A083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5" w15:restartNumberingAfterBreak="0">
    <w:nsid w:val="45E52B70"/>
    <w:multiLevelType w:val="hybridMultilevel"/>
    <w:tmpl w:val="240EAA7A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42862"/>
    <w:multiLevelType w:val="hybridMultilevel"/>
    <w:tmpl w:val="EF6ED3D2"/>
    <w:lvl w:ilvl="0" w:tplc="0C0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9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41DA0"/>
    <w:multiLevelType w:val="hybridMultilevel"/>
    <w:tmpl w:val="7754461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0"/>
    <w:rsid w:val="000504A0"/>
    <w:rsid w:val="00057D6C"/>
    <w:rsid w:val="00067FDB"/>
    <w:rsid w:val="000A1C45"/>
    <w:rsid w:val="000A6D5A"/>
    <w:rsid w:val="0011708E"/>
    <w:rsid w:val="00134CC9"/>
    <w:rsid w:val="001531C4"/>
    <w:rsid w:val="00185DB6"/>
    <w:rsid w:val="00197585"/>
    <w:rsid w:val="001A491C"/>
    <w:rsid w:val="001D07AB"/>
    <w:rsid w:val="002700DB"/>
    <w:rsid w:val="002B63E4"/>
    <w:rsid w:val="00341D41"/>
    <w:rsid w:val="00347ED7"/>
    <w:rsid w:val="003D444C"/>
    <w:rsid w:val="003F4436"/>
    <w:rsid w:val="003F5BF0"/>
    <w:rsid w:val="00441807"/>
    <w:rsid w:val="00470534"/>
    <w:rsid w:val="00475D15"/>
    <w:rsid w:val="00480614"/>
    <w:rsid w:val="00493227"/>
    <w:rsid w:val="004D279E"/>
    <w:rsid w:val="004F2068"/>
    <w:rsid w:val="004F6B96"/>
    <w:rsid w:val="00525CBB"/>
    <w:rsid w:val="005273E7"/>
    <w:rsid w:val="00537C4D"/>
    <w:rsid w:val="00553171"/>
    <w:rsid w:val="00567FA9"/>
    <w:rsid w:val="005A08BE"/>
    <w:rsid w:val="005B42FD"/>
    <w:rsid w:val="005C728F"/>
    <w:rsid w:val="005D726A"/>
    <w:rsid w:val="007069F0"/>
    <w:rsid w:val="00715183"/>
    <w:rsid w:val="0075352C"/>
    <w:rsid w:val="007A67B5"/>
    <w:rsid w:val="007B1118"/>
    <w:rsid w:val="007B6AAE"/>
    <w:rsid w:val="007B7AC0"/>
    <w:rsid w:val="007E2D3C"/>
    <w:rsid w:val="008012D5"/>
    <w:rsid w:val="008A33E5"/>
    <w:rsid w:val="008A7949"/>
    <w:rsid w:val="008C3230"/>
    <w:rsid w:val="009449FA"/>
    <w:rsid w:val="00947678"/>
    <w:rsid w:val="00953EBE"/>
    <w:rsid w:val="0096470C"/>
    <w:rsid w:val="0097388A"/>
    <w:rsid w:val="00992A94"/>
    <w:rsid w:val="00996C71"/>
    <w:rsid w:val="009A7D3B"/>
    <w:rsid w:val="009D66F5"/>
    <w:rsid w:val="00A81131"/>
    <w:rsid w:val="00A83487"/>
    <w:rsid w:val="00AA0B7E"/>
    <w:rsid w:val="00AA5E0A"/>
    <w:rsid w:val="00AD25B4"/>
    <w:rsid w:val="00AD5F28"/>
    <w:rsid w:val="00AD7DF8"/>
    <w:rsid w:val="00AF4875"/>
    <w:rsid w:val="00B01FEF"/>
    <w:rsid w:val="00B17C14"/>
    <w:rsid w:val="00B75112"/>
    <w:rsid w:val="00B85A22"/>
    <w:rsid w:val="00BC4847"/>
    <w:rsid w:val="00BE64FB"/>
    <w:rsid w:val="00C532E7"/>
    <w:rsid w:val="00C54301"/>
    <w:rsid w:val="00C95682"/>
    <w:rsid w:val="00CF307C"/>
    <w:rsid w:val="00D7586C"/>
    <w:rsid w:val="00DB3A31"/>
    <w:rsid w:val="00DD5CEA"/>
    <w:rsid w:val="00E010CD"/>
    <w:rsid w:val="00E04855"/>
    <w:rsid w:val="00E82D04"/>
    <w:rsid w:val="00E925AF"/>
    <w:rsid w:val="00EB60C9"/>
    <w:rsid w:val="00F33C39"/>
    <w:rsid w:val="00F373C7"/>
    <w:rsid w:val="00F5207E"/>
    <w:rsid w:val="00F56AC5"/>
    <w:rsid w:val="00F6241C"/>
    <w:rsid w:val="00FA4766"/>
    <w:rsid w:val="00FB512C"/>
    <w:rsid w:val="00FD0A44"/>
    <w:rsid w:val="00FD57CA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1CDA38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aliases w:val="Bullet copy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umer@hcq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mer@hcq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cq.org.au/wp-content/uploads/2015/12/Consumer-Remuneration-Rates-Dec-201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BBDF3-55D2-4248-95FA-05FE84C31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E7EE5-250A-4E01-9366-3DC97312194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d825132-467c-41f6-9969-f0c1c8cfc3d1"/>
    <ds:schemaRef ds:uri="http://purl.org/dc/elements/1.1/"/>
    <ds:schemaRef ds:uri="http://schemas.microsoft.com/office/2006/metadata/properties"/>
    <ds:schemaRef ds:uri="http://schemas.microsoft.com/office/2006/documentManagement/types"/>
    <ds:schemaRef ds:uri="2ca354fd-4360-4dc8-a020-e61f774bcd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1079</Words>
  <Characters>6154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2</cp:revision>
  <dcterms:created xsi:type="dcterms:W3CDTF">2020-07-01T04:18:00Z</dcterms:created>
  <dcterms:modified xsi:type="dcterms:W3CDTF">2020-07-01T04:18:00Z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