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4802" w14:textId="77777777" w:rsidR="007A67B5" w:rsidRDefault="00CF307C" w:rsidP="00401B78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 </w:t>
      </w:r>
      <w:r w:rsidR="00E33F1D">
        <w:rPr>
          <w:sz w:val="36"/>
        </w:rPr>
        <w:t xml:space="preserve">Application for </w:t>
      </w:r>
      <w:r w:rsidR="00401B78">
        <w:rPr>
          <w:sz w:val="36"/>
        </w:rPr>
        <w:t>Consumer R</w:t>
      </w:r>
      <w:r w:rsidR="00401B78" w:rsidRPr="00401B78">
        <w:rPr>
          <w:sz w:val="36"/>
        </w:rPr>
        <w:t>ep</w:t>
      </w:r>
      <w:r w:rsidR="00401B78">
        <w:rPr>
          <w:sz w:val="36"/>
        </w:rPr>
        <w:t>resentative</w:t>
      </w:r>
      <w:r w:rsidR="00401B78" w:rsidRPr="00401B78">
        <w:rPr>
          <w:sz w:val="36"/>
        </w:rPr>
        <w:t xml:space="preserve"> </w:t>
      </w:r>
    </w:p>
    <w:p w14:paraId="1D936D71" w14:textId="77777777" w:rsidR="00E33F1D" w:rsidRDefault="00E33F1D" w:rsidP="00E33F1D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t>Statewide Digital Healthcare Improvement Clinical Network</w:t>
      </w:r>
    </w:p>
    <w:p w14:paraId="3BDA3AB4" w14:textId="4F1C2D4A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0C50CA">
        <w:rPr>
          <w:rFonts w:asciiTheme="minorHAnsi" w:hAnsiTheme="minorHAnsi" w:cstheme="minorHAnsi"/>
          <w:color w:val="auto"/>
          <w:sz w:val="22"/>
        </w:rPr>
        <w:t xml:space="preserve">9.00am, Monday </w:t>
      </w:r>
      <w:r w:rsidR="00932701">
        <w:rPr>
          <w:rFonts w:asciiTheme="minorHAnsi" w:hAnsiTheme="minorHAnsi" w:cstheme="minorHAnsi"/>
          <w:color w:val="auto"/>
          <w:sz w:val="22"/>
        </w:rPr>
        <w:t>31</w:t>
      </w:r>
      <w:r w:rsidR="00182603">
        <w:rPr>
          <w:rFonts w:asciiTheme="minorHAnsi" w:hAnsiTheme="minorHAnsi" w:cstheme="minorHAnsi"/>
          <w:color w:val="auto"/>
          <w:sz w:val="22"/>
        </w:rPr>
        <w:t xml:space="preserve"> August</w:t>
      </w:r>
      <w:r w:rsidR="000C50CA">
        <w:rPr>
          <w:rFonts w:asciiTheme="minorHAnsi" w:hAnsiTheme="minorHAnsi" w:cstheme="minorHAnsi"/>
          <w:color w:val="auto"/>
          <w:sz w:val="22"/>
        </w:rPr>
        <w:t>,</w:t>
      </w:r>
      <w:r w:rsidR="00182603">
        <w:rPr>
          <w:rFonts w:asciiTheme="minorHAnsi" w:hAnsiTheme="minorHAnsi" w:cstheme="minorHAnsi"/>
          <w:color w:val="auto"/>
          <w:sz w:val="22"/>
        </w:rPr>
        <w:t xml:space="preserve"> 2020</w:t>
      </w:r>
    </w:p>
    <w:p w14:paraId="3E0ADD23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</w:p>
    <w:p w14:paraId="41D26813" w14:textId="3C150A0D" w:rsidR="00B85A22" w:rsidRPr="0048230D" w:rsidRDefault="0011708E" w:rsidP="0011708E">
      <w:pPr>
        <w:ind w:right="-755"/>
        <w:rPr>
          <w:b/>
        </w:rPr>
      </w:pPr>
      <w:r w:rsidRPr="0048230D">
        <w:rPr>
          <w:b/>
        </w:rPr>
        <w:t>The Dep</w:t>
      </w:r>
      <w:r w:rsidR="0048230D" w:rsidRPr="0048230D">
        <w:rPr>
          <w:b/>
        </w:rPr>
        <w:t>artment of Health is providing one (1)</w:t>
      </w:r>
      <w:r w:rsidRPr="0048230D">
        <w:rPr>
          <w:b/>
        </w:rPr>
        <w:t xml:space="preserve"> health consumer representative a unique opportunity to participate on the </w:t>
      </w:r>
      <w:r w:rsidR="00403313" w:rsidRPr="0048230D">
        <w:rPr>
          <w:b/>
        </w:rPr>
        <w:t>Statewide Digital Healthcare Improvement</w:t>
      </w:r>
      <w:r w:rsidR="00932701" w:rsidRPr="0048230D">
        <w:rPr>
          <w:b/>
        </w:rPr>
        <w:t xml:space="preserve"> </w:t>
      </w:r>
      <w:r w:rsidR="00403313" w:rsidRPr="0048230D">
        <w:rPr>
          <w:b/>
        </w:rPr>
        <w:t>Network</w:t>
      </w:r>
      <w:r w:rsidR="00932701" w:rsidRPr="0048230D">
        <w:rPr>
          <w:b/>
        </w:rPr>
        <w:t xml:space="preserve"> (DHIN)</w:t>
      </w:r>
      <w:r w:rsidR="00AD7DF8" w:rsidRPr="0048230D">
        <w:rPr>
          <w:b/>
        </w:rPr>
        <w:t>.</w:t>
      </w:r>
      <w:r w:rsidRPr="0048230D">
        <w:rPr>
          <w:b/>
        </w:rPr>
        <w:t xml:space="preserve">  </w:t>
      </w:r>
    </w:p>
    <w:p w14:paraId="11BFB7FC" w14:textId="3C4AFD54" w:rsidR="00932701" w:rsidRPr="007873BF" w:rsidRDefault="00932701" w:rsidP="00932701">
      <w:pPr>
        <w:ind w:right="-755"/>
      </w:pPr>
      <w:r w:rsidRPr="007873BF">
        <w:t>The position requires personal experience as a health consumer, strong links with community groups / networks and the ability to present practical advice that reflects health consumers' real-life experiences. Your contribution as a consumer representative will help to improve and support clinical services.</w:t>
      </w:r>
    </w:p>
    <w:p w14:paraId="6535918E" w14:textId="390CE02D" w:rsidR="00932701" w:rsidRDefault="00932701" w:rsidP="00932701">
      <w:pPr>
        <w:ind w:right="-755"/>
      </w:pPr>
      <w:r>
        <w:t xml:space="preserve">As the peak body of clinical expertise in Queensland the </w:t>
      </w:r>
      <w:hyperlink r:id="rId10" w:history="1">
        <w:r w:rsidRPr="00932701">
          <w:rPr>
            <w:rStyle w:val="Hyperlink"/>
          </w:rPr>
          <w:t>networks</w:t>
        </w:r>
      </w:hyperlink>
      <w:r>
        <w:t xml:space="preserve"> serve as an independent point of reference, for clinicians, </w:t>
      </w:r>
      <w:r w:rsidR="007873BF">
        <w:t xml:space="preserve">consumers, </w:t>
      </w:r>
      <w:r>
        <w:t>Hospital and Health Services and the Department of Health.</w:t>
      </w:r>
    </w:p>
    <w:p w14:paraId="531DE0EE" w14:textId="77777777" w:rsidR="00932701" w:rsidRDefault="00932701" w:rsidP="00932701">
      <w:pPr>
        <w:spacing w:line="276" w:lineRule="auto"/>
      </w:pPr>
      <w:r>
        <w:t>The networks guide quality and improvement reform and support clinical policy development, emphasising evidence-based practice and clinical consensus to guide implementation, optimisation and provision of high-quality consumer focused health care.</w:t>
      </w:r>
    </w:p>
    <w:p w14:paraId="6510C45F" w14:textId="77777777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26668344" w14:textId="77777777" w:rsidR="007873BF" w:rsidRDefault="007873BF" w:rsidP="007873BF">
      <w:pPr>
        <w:spacing w:line="276" w:lineRule="auto"/>
      </w:pPr>
      <w:r>
        <w:t xml:space="preserve">The DHIN was established in 2017 to provide a coordinated, multidisciplinary forum for </w:t>
      </w:r>
      <w:r>
        <w:rPr>
          <w:lang w:val="en-AU"/>
        </w:rPr>
        <w:t xml:space="preserve">improving patient care and clinical workflows using the digital platform, including integrating across primary, community and hospital settings. </w:t>
      </w:r>
    </w:p>
    <w:p w14:paraId="11FEDFC3" w14:textId="6991798E" w:rsidR="00932701" w:rsidRPr="0023735E" w:rsidRDefault="007873BF" w:rsidP="00932701">
      <w:pPr>
        <w:spacing w:line="276" w:lineRule="auto"/>
        <w:rPr>
          <w:lang w:val="en-AU"/>
        </w:rPr>
      </w:pPr>
      <w:r>
        <w:rPr>
          <w:lang w:val="en-AU"/>
        </w:rPr>
        <w:t xml:space="preserve">It </w:t>
      </w:r>
      <w:r w:rsidR="00932701" w:rsidRPr="0023735E">
        <w:rPr>
          <w:lang w:val="en-AU"/>
        </w:rPr>
        <w:t xml:space="preserve">is an advisory clinical body under the governance of the Clinical Excellence </w:t>
      </w:r>
      <w:r w:rsidR="00932701">
        <w:rPr>
          <w:lang w:val="en-AU"/>
        </w:rPr>
        <w:t>Queensland</w:t>
      </w:r>
      <w:r w:rsidR="00932701" w:rsidRPr="0023735E">
        <w:rPr>
          <w:lang w:val="en-AU"/>
        </w:rPr>
        <w:t xml:space="preserve"> and provide</w:t>
      </w:r>
      <w:r w:rsidR="00932701">
        <w:rPr>
          <w:lang w:val="en-AU"/>
        </w:rPr>
        <w:t>s</w:t>
      </w:r>
      <w:r w:rsidR="00932701" w:rsidRPr="0023735E">
        <w:rPr>
          <w:lang w:val="en-AU"/>
        </w:rPr>
        <w:t xml:space="preserve"> clear, coordinated and authoritative clinical advice and leadership to the Queensland digital health ecosyste</w:t>
      </w:r>
      <w:r w:rsidR="00932701">
        <w:rPr>
          <w:lang w:val="en-AU"/>
        </w:rPr>
        <w:t>m.</w:t>
      </w:r>
    </w:p>
    <w:p w14:paraId="3A3D3BB0" w14:textId="6291D1CE" w:rsidR="00932701" w:rsidRDefault="00932701" w:rsidP="0011708E">
      <w:pPr>
        <w:ind w:right="-755"/>
      </w:pPr>
      <w:r>
        <w:t xml:space="preserve">The network </w:t>
      </w:r>
      <w:r w:rsidR="007873BF">
        <w:t xml:space="preserve">provides overarching </w:t>
      </w:r>
      <w:r>
        <w:t xml:space="preserve">governance of digital activities occurring throughout Queensland Health integrated electronic medical record (ieMR) sites and functions as an innovation hub for digital healthcare improvement. </w:t>
      </w:r>
    </w:p>
    <w:p w14:paraId="54581252" w14:textId="38103850" w:rsidR="00932701" w:rsidRDefault="00932701" w:rsidP="00932701">
      <w:r>
        <w:t>Specific functions of DHIN include:</w:t>
      </w:r>
    </w:p>
    <w:p w14:paraId="51C3ABFB" w14:textId="0F2AC2D3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Improve patient care and clinical workflows using the digital platform, including integrating across primary, community and hospital settings</w:t>
      </w:r>
      <w:r w:rsidR="007873BF">
        <w:t>.</w:t>
      </w:r>
    </w:p>
    <w:p w14:paraId="5AA98E01" w14:textId="7680DD35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Assist with prioritising enhancements to the digital platform that improve clinical care</w:t>
      </w:r>
      <w:r w:rsidR="007873BF">
        <w:t>.</w:t>
      </w:r>
    </w:p>
    <w:p w14:paraId="35B9A3B1" w14:textId="48B3422C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Support transparency of current digital improvement activities</w:t>
      </w:r>
      <w:r w:rsidR="007873BF">
        <w:t>.</w:t>
      </w:r>
    </w:p>
    <w:p w14:paraId="2DC98349" w14:textId="1FFE7F02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rPr>
          <w:lang w:val="en-AU"/>
        </w:rPr>
        <w:lastRenderedPageBreak/>
        <w:t>Facilitate</w:t>
      </w:r>
      <w:r>
        <w:t xml:space="preserve"> clinical readiness and assisting with clinical governance of digital transformation</w:t>
      </w:r>
      <w:r w:rsidR="007873BF">
        <w:t>.</w:t>
      </w:r>
    </w:p>
    <w:p w14:paraId="26BE5406" w14:textId="015B2E39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Provide guidance to facilities undergoing digital disruption to support the maintenance of performance and quality</w:t>
      </w:r>
      <w:r w:rsidR="007873BF">
        <w:t>.</w:t>
      </w:r>
    </w:p>
    <w:p w14:paraId="6EAA2F1C" w14:textId="499B62A1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Raise, filter and escalate clinical issues with digital implementations</w:t>
      </w:r>
      <w:r w:rsidR="007873BF">
        <w:t>.</w:t>
      </w:r>
    </w:p>
    <w:p w14:paraId="11DE4993" w14:textId="6923A4EC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Lead and advise on digital innovation</w:t>
      </w:r>
      <w:r w:rsidR="007873BF">
        <w:t>.</w:t>
      </w:r>
    </w:p>
    <w:p w14:paraId="17B93E62" w14:textId="177ADF95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60" w:line="240" w:lineRule="atLeast"/>
        <w:ind w:left="714" w:hanging="357"/>
        <w:textAlignment w:val="center"/>
      </w:pPr>
      <w:r>
        <w:t>Provide objective, agnostic advice on the integration and utilisation of existing and imminent systems</w:t>
      </w:r>
      <w:r w:rsidR="007873BF">
        <w:t>.</w:t>
      </w:r>
    </w:p>
    <w:p w14:paraId="389AEEFF" w14:textId="07542903" w:rsidR="00932701" w:rsidRDefault="00932701" w:rsidP="00932701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113" w:line="240" w:lineRule="atLeast"/>
        <w:contextualSpacing/>
        <w:textAlignment w:val="center"/>
      </w:pPr>
      <w:r>
        <w:t>Foster linkage with clinical networks and statewide clinical bodies.</w:t>
      </w:r>
    </w:p>
    <w:p w14:paraId="34A87366" w14:textId="48073F45" w:rsidR="0011708E" w:rsidRPr="007873BF" w:rsidRDefault="00932701" w:rsidP="0011708E">
      <w:pPr>
        <w:ind w:right="-755"/>
        <w:rPr>
          <w:bCs/>
        </w:rPr>
      </w:pPr>
      <w:r w:rsidRPr="007873BF">
        <w:rPr>
          <w:bCs/>
        </w:rPr>
        <w:t>For further information please refer to the attached</w:t>
      </w:r>
      <w:r w:rsidR="0011708E" w:rsidRPr="007873BF">
        <w:rPr>
          <w:bCs/>
        </w:rPr>
        <w:t xml:space="preserve"> Terms of Reference</w:t>
      </w:r>
      <w:r w:rsidR="007873BF" w:rsidRPr="007873BF">
        <w:rPr>
          <w:bCs/>
        </w:rPr>
        <w:t xml:space="preserve">. </w:t>
      </w:r>
      <w:r w:rsidR="0011708E" w:rsidRPr="007873BF">
        <w:rPr>
          <w:bCs/>
        </w:rPr>
        <w:t xml:space="preserve">  </w:t>
      </w:r>
    </w:p>
    <w:p w14:paraId="3D5FE03A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469B156D" w14:textId="77777777" w:rsidR="007873BF" w:rsidRDefault="007873BF" w:rsidP="00403313">
      <w:pPr>
        <w:pStyle w:val="Default"/>
        <w:ind w:left="283" w:hanging="284"/>
        <w:rPr>
          <w:sz w:val="22"/>
          <w:szCs w:val="22"/>
        </w:rPr>
      </w:pPr>
      <w:r>
        <w:rPr>
          <w:sz w:val="22"/>
          <w:szCs w:val="22"/>
        </w:rPr>
        <w:t>The role of the consumer includes:</w:t>
      </w:r>
    </w:p>
    <w:p w14:paraId="3F30E6C8" w14:textId="5A7B488C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Actively participate in steering committee discussions. </w:t>
      </w:r>
    </w:p>
    <w:p w14:paraId="52124AEA" w14:textId="10A3D57F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Confidently advocate on behalf of people they will be asked to represent. </w:t>
      </w:r>
    </w:p>
    <w:p w14:paraId="22D0DF0E" w14:textId="6F393D83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Bring a consumer/ carer perspective to all discussion and decision-making. </w:t>
      </w:r>
    </w:p>
    <w:p w14:paraId="4209F314" w14:textId="4D30E006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Possess a good understanding of matters that affect people receiving </w:t>
      </w:r>
      <w:r w:rsidR="00AC0945">
        <w:rPr>
          <w:sz w:val="22"/>
          <w:szCs w:val="22"/>
        </w:rPr>
        <w:t>hospital</w:t>
      </w:r>
      <w:r>
        <w:rPr>
          <w:sz w:val="22"/>
          <w:szCs w:val="22"/>
        </w:rPr>
        <w:t xml:space="preserve"> care services. </w:t>
      </w:r>
    </w:p>
    <w:p w14:paraId="12BF1BB0" w14:textId="7D2AED2E" w:rsidR="00403313" w:rsidRDefault="00403313" w:rsidP="007873BF">
      <w:pPr>
        <w:pStyle w:val="Default"/>
        <w:numPr>
          <w:ilvl w:val="0"/>
          <w:numId w:val="10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Have well developed interpersonal skills including the ability to work as part of a team and maintain </w:t>
      </w:r>
      <w:r w:rsidR="007873BF">
        <w:rPr>
          <w:sz w:val="22"/>
          <w:szCs w:val="22"/>
        </w:rPr>
        <w:t>g</w:t>
      </w:r>
      <w:r>
        <w:rPr>
          <w:sz w:val="22"/>
          <w:szCs w:val="22"/>
        </w:rPr>
        <w:t xml:space="preserve">ood working relationships with team members and other stakeholders. </w:t>
      </w:r>
    </w:p>
    <w:p w14:paraId="39834986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7CA87829" w14:textId="3F570DB7" w:rsidR="00403313" w:rsidRDefault="00403313" w:rsidP="00403313">
      <w:pPr>
        <w:pStyle w:val="Default"/>
        <w:spacing w:after="160"/>
        <w:ind w:right="-755"/>
        <w:rPr>
          <w:sz w:val="22"/>
          <w:szCs w:val="22"/>
        </w:rPr>
      </w:pPr>
      <w:r>
        <w:rPr>
          <w:sz w:val="22"/>
          <w:szCs w:val="22"/>
        </w:rPr>
        <w:t xml:space="preserve">This opportunity would suit a consumer or carer representative: </w:t>
      </w:r>
    </w:p>
    <w:p w14:paraId="6616BEF8" w14:textId="4904E28E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With at least </w:t>
      </w:r>
      <w:r w:rsidR="00AC0945">
        <w:rPr>
          <w:sz w:val="22"/>
          <w:szCs w:val="22"/>
        </w:rPr>
        <w:t>six</w:t>
      </w:r>
      <w:r>
        <w:rPr>
          <w:sz w:val="22"/>
          <w:szCs w:val="22"/>
        </w:rPr>
        <w:t xml:space="preserve"> months experience sitting on an executive committee of a statewide clinical network</w:t>
      </w:r>
      <w:r w:rsidR="007873BF">
        <w:rPr>
          <w:sz w:val="22"/>
          <w:szCs w:val="22"/>
        </w:rPr>
        <w:t>.</w:t>
      </w:r>
    </w:p>
    <w:p w14:paraId="11A91686" w14:textId="191E3F00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That has an excellent track record of working with multi-disciplinary clinical teams</w:t>
      </w:r>
      <w:r w:rsidR="007873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ED1D1C6" w14:textId="3B9C79D7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Has a good understanding of the future of healthcare from a consumer or carer perspective </w:t>
      </w:r>
    </w:p>
    <w:p w14:paraId="72694A28" w14:textId="2B17BC1B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That has well developed written and communication skills</w:t>
      </w:r>
      <w:r w:rsidR="007873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C4EC755" w14:textId="7A0F2F19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Can demonstrate innovative and creative approaches to address complex organisational issues using a quality improvement framework. </w:t>
      </w:r>
    </w:p>
    <w:p w14:paraId="0541E9D0" w14:textId="3F3C9DF7" w:rsidR="00403313" w:rsidRDefault="00403313" w:rsidP="007873BF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Can use a high level of negation and conflict management skills</w:t>
      </w:r>
      <w:r w:rsidR="007873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6210A60" w14:textId="77777777" w:rsidR="00AC0945" w:rsidRDefault="00AC094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0BC979C6" w14:textId="5B744251" w:rsidR="007A67B5" w:rsidRPr="007A67B5" w:rsidRDefault="007A67B5" w:rsidP="00AC0945">
      <w:pPr>
        <w:spacing w:after="0"/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09E2D717" w14:textId="5C224E03" w:rsidR="005D726A" w:rsidRDefault="007873BF" w:rsidP="00AC0945">
      <w:pPr>
        <w:autoSpaceDE w:val="0"/>
        <w:autoSpaceDN w:val="0"/>
        <w:adjustRightInd w:val="0"/>
        <w:spacing w:after="120" w:line="276" w:lineRule="auto"/>
      </w:pPr>
      <w:r w:rsidRPr="007873BF">
        <w:rPr>
          <w:bCs/>
        </w:rPr>
        <w:t xml:space="preserve">Membership will be current for two years and it is expected that meetings will be conducted </w:t>
      </w:r>
      <w:r>
        <w:rPr>
          <w:bCs/>
        </w:rPr>
        <w:t xml:space="preserve">every two months </w:t>
      </w:r>
      <w:r w:rsidRPr="007873BF">
        <w:rPr>
          <w:bCs/>
        </w:rPr>
        <w:t>(approx. 2 hours during business hours), principally by Microsoft Office Teams</w:t>
      </w:r>
      <w:r w:rsidR="00AC0945">
        <w:rPr>
          <w:bCs/>
        </w:rPr>
        <w:t>.</w:t>
      </w:r>
    </w:p>
    <w:p w14:paraId="5E623B83" w14:textId="77777777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7991E63B" w14:textId="77777777" w:rsidR="00403313" w:rsidRDefault="00403313" w:rsidP="00403313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The successful consumer/or carer will be reimbursed for their time at the meeting as per details below: </w:t>
      </w:r>
    </w:p>
    <w:p w14:paraId="6D3A56DF" w14:textId="77777777" w:rsidR="00403313" w:rsidRDefault="00403313" w:rsidP="00403313">
      <w:pPr>
        <w:pStyle w:val="Default"/>
        <w:spacing w:after="20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• $187 for meetings 4 hours and under (including pre-reading and travel time) </w:t>
      </w:r>
    </w:p>
    <w:p w14:paraId="7223A983" w14:textId="77777777" w:rsidR="00403313" w:rsidRDefault="00403313" w:rsidP="00403313">
      <w:pPr>
        <w:pStyle w:val="Default"/>
        <w:spacing w:after="20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• $374 per meeting over 4 hours (including pre-reading and travel time) </w:t>
      </w:r>
    </w:p>
    <w:p w14:paraId="5D2AF435" w14:textId="77777777" w:rsidR="00403313" w:rsidRDefault="00403313" w:rsidP="00403313">
      <w:pPr>
        <w:pStyle w:val="Default"/>
        <w:rPr>
          <w:sz w:val="22"/>
          <w:szCs w:val="22"/>
        </w:rPr>
      </w:pPr>
    </w:p>
    <w:p w14:paraId="53E78B91" w14:textId="758BFEE3" w:rsidR="005D726A" w:rsidRPr="00DE276A" w:rsidRDefault="00403313" w:rsidP="00403313">
      <w:r>
        <w:t>The successful consumer / or carer will also be reimbursed any travel or parking expense</w:t>
      </w:r>
      <w:r w:rsidR="007873BF">
        <w:t xml:space="preserve"> (if applicable)</w:t>
      </w:r>
      <w:r>
        <w:t xml:space="preserve"> with an original receipt and tax invoice raised. </w:t>
      </w:r>
      <w:r w:rsidR="005D726A" w:rsidRPr="003D64C7">
        <w:t>Eg.</w:t>
      </w:r>
      <w:r w:rsidR="005D726A">
        <w:t xml:space="preserve"> </w:t>
      </w:r>
      <w:r w:rsidR="007A67B5" w:rsidRPr="00DE276A">
        <w:t xml:space="preserve">Consumers will be remunerated for their time in line with </w:t>
      </w:r>
      <w:hyperlink r:id="rId11" w:history="1">
        <w:r w:rsidR="007A67B5" w:rsidRPr="00671551">
          <w:rPr>
            <w:rStyle w:val="Hyperlink"/>
          </w:rPr>
          <w:t>Health Consumers Queensland’s remuneration position statement</w:t>
        </w:r>
      </w:hyperlink>
      <w:r w:rsidR="007A67B5" w:rsidRPr="00DE276A">
        <w:t xml:space="preserve">. </w:t>
      </w:r>
      <w:r w:rsidR="007A67B5">
        <w:t xml:space="preserve">Parking and travel expenses will be covered. </w:t>
      </w:r>
    </w:p>
    <w:p w14:paraId="74E20C3E" w14:textId="77777777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1EFCAD2C" w14:textId="076BAA96" w:rsidR="007A67B5" w:rsidRPr="00654516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2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654516">
        <w:rPr>
          <w:rStyle w:val="Hyperlink"/>
          <w:b/>
          <w:color w:val="auto"/>
          <w:u w:val="none"/>
        </w:rPr>
        <w:t xml:space="preserve">by </w:t>
      </w:r>
      <w:r w:rsidR="00135A4D" w:rsidRPr="00135A4D">
        <w:rPr>
          <w:rStyle w:val="Hyperlink"/>
          <w:b/>
          <w:color w:val="auto"/>
        </w:rPr>
        <w:t>9.00am, Monday 31 August, 2020</w:t>
      </w:r>
    </w:p>
    <w:p w14:paraId="5E8C3432" w14:textId="77777777" w:rsidR="007A67B5" w:rsidRDefault="007A67B5" w:rsidP="007A67B5">
      <w:r w:rsidRPr="00F274C6">
        <w:t xml:space="preserve">For assistance please contact Health Consumers Queensland via </w:t>
      </w:r>
      <w:hyperlink r:id="rId13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43BB3961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00952891" w14:textId="77777777" w:rsidR="00947678" w:rsidRPr="00996C71" w:rsidRDefault="00AA375B" w:rsidP="005D726A">
      <w:pPr>
        <w:jc w:val="center"/>
        <w:rPr>
          <w:b/>
          <w:sz w:val="32"/>
          <w:szCs w:val="24"/>
        </w:rPr>
      </w:pPr>
      <w:r w:rsidRPr="00AA375B">
        <w:rPr>
          <w:b/>
          <w:sz w:val="32"/>
          <w:szCs w:val="24"/>
        </w:rPr>
        <w:t>Statewide Digital Healthcare Improvement Clinical Network</w:t>
      </w:r>
      <w:r w:rsidR="005D726A">
        <w:rPr>
          <w:b/>
          <w:sz w:val="32"/>
          <w:szCs w:val="24"/>
        </w:rPr>
        <w:t xml:space="preserve"> </w:t>
      </w:r>
    </w:p>
    <w:p w14:paraId="7541EC7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  <w:bookmarkStart w:id="0" w:name="_GoBack"/>
      <w:bookmarkEnd w:id="0"/>
    </w:p>
    <w:p w14:paraId="7D1A3885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71F74C36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3733A43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53306BEF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03A99D60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D070E6B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32C0EE99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2E8E2140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1D9E5A89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4"/>
          <w:footerReference w:type="default" r:id="rId15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5F03FBC8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36DF0278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246E952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5BDD2B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7C408DB7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5389902D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5F6D015C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73DA1FA7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11FD45D4" w14:textId="77777777" w:rsidR="00B75112" w:rsidRPr="00567FA9" w:rsidRDefault="00B75112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3C6C88BE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AC6B9BD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4D063E6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14:paraId="69953908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1CB9D6E1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0752997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49C95401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296F9501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89583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C92B1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144A72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CF74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B7F64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2E889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38B41AE9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7079246C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727743E2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47430A8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587B8B1A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169437C5" w14:textId="77777777" w:rsidR="00553171" w:rsidRPr="00567FA9" w:rsidRDefault="0075352C" w:rsidP="0075352C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>
        <w:rPr>
          <w:rFonts w:asciiTheme="minorHAnsi" w:hAnsiTheme="minorHAnsi" w:cstheme="minorHAnsi"/>
          <w:color w:val="auto"/>
          <w:sz w:val="22"/>
        </w:rPr>
        <w:t>describe your experience</w:t>
      </w:r>
      <w:r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etc.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F2C3371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6DBE5CB3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AF73963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9615645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66375D98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750E89D3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49CA5C49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73434770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77189B9B" w14:textId="77777777" w:rsidR="008012D5" w:rsidRPr="00480614" w:rsidRDefault="00AF4875" w:rsidP="00480614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06167655" w14:textId="77777777" w:rsidR="008012D5" w:rsidRPr="00567FA9" w:rsidRDefault="008012D5" w:rsidP="00553171">
      <w:pPr>
        <w:pStyle w:val="TableParagraph"/>
        <w:spacing w:before="118"/>
      </w:pPr>
    </w:p>
    <w:p w14:paraId="26C65972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2623798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CFB7925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46633963" w14:textId="77777777" w:rsidR="00C532E7" w:rsidRPr="00567FA9" w:rsidRDefault="00C532E7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79D669A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1C760168" w14:textId="706625BB" w:rsidR="008012D5" w:rsidRPr="00480614" w:rsidRDefault="00E82D04" w:rsidP="003D64C7">
      <w:pPr>
        <w:pStyle w:val="StaffH1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</w:rPr>
      </w:pPr>
      <w:r w:rsidRPr="00E82D04">
        <w:rPr>
          <w:rFonts w:asciiTheme="minorHAnsi" w:hAnsiTheme="minorHAnsi" w:cstheme="minorHAnsi"/>
          <w:color w:val="auto"/>
          <w:sz w:val="22"/>
        </w:rPr>
        <w:t xml:space="preserve">Please describe your interest in </w:t>
      </w:r>
      <w:r w:rsidR="003D64C7">
        <w:rPr>
          <w:rFonts w:asciiTheme="minorHAnsi" w:hAnsiTheme="minorHAnsi" w:cstheme="minorHAnsi"/>
          <w:color w:val="auto"/>
          <w:sz w:val="22"/>
        </w:rPr>
        <w:t>digital healthcare i</w:t>
      </w:r>
      <w:r w:rsidR="003D64C7" w:rsidRPr="003D64C7">
        <w:rPr>
          <w:rFonts w:asciiTheme="minorHAnsi" w:hAnsiTheme="minorHAnsi" w:cstheme="minorHAnsi"/>
          <w:color w:val="auto"/>
          <w:sz w:val="22"/>
        </w:rPr>
        <w:t>mprovement</w:t>
      </w:r>
      <w:r w:rsidR="00480614">
        <w:rPr>
          <w:rFonts w:asciiTheme="minorHAnsi" w:hAnsiTheme="minorHAnsi" w:cstheme="minorHAnsi"/>
          <w:color w:val="auto"/>
          <w:sz w:val="22"/>
        </w:rPr>
        <w:t xml:space="preserve">? </w:t>
      </w:r>
      <w:r w:rsidR="008012D5" w:rsidRPr="0048061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</w:p>
    <w:p w14:paraId="7620B5FD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</w:p>
    <w:p w14:paraId="5FF2A87D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your understanding of the social/health/economic implications of the topic/condition, or</w:t>
      </w:r>
    </w:p>
    <w:p w14:paraId="7B36ADBB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14:paraId="7BB3D57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D114438" w14:textId="77777777" w:rsidR="00FD0A44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5A72FA46" w14:textId="354D17AA" w:rsidR="00E672FA" w:rsidRDefault="00E672FA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991969E" w14:textId="1A1E3B9B" w:rsidR="003D64C7" w:rsidRDefault="003D64C7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14E16328" w14:textId="77777777" w:rsidR="003D64C7" w:rsidRDefault="003D64C7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7F838C8" w14:textId="77777777" w:rsidR="00E672FA" w:rsidRPr="00567FA9" w:rsidRDefault="00E672FA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58A712F7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(we will advise if you are shortlisted before we contact your referee).</w:t>
      </w:r>
    </w:p>
    <w:p w14:paraId="1C8F846B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48D7CBEC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9B6E86A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18FEEF85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(eg. Committee Chair):</w:t>
      </w:r>
    </w:p>
    <w:p w14:paraId="07377FF6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7734AE25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3B09C0F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003CC9EE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5FCF" w14:textId="77777777" w:rsidR="00006D58" w:rsidRDefault="00006D58" w:rsidP="007B1118">
      <w:pPr>
        <w:spacing w:after="0" w:line="240" w:lineRule="auto"/>
      </w:pPr>
      <w:r>
        <w:separator/>
      </w:r>
    </w:p>
  </w:endnote>
  <w:endnote w:type="continuationSeparator" w:id="0">
    <w:p w14:paraId="533DD357" w14:textId="77777777" w:rsidR="00006D58" w:rsidRDefault="00006D58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CBFDE" w14:textId="4614237E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A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198011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49DE" w14:textId="77777777" w:rsidR="00006D58" w:rsidRDefault="00006D58" w:rsidP="007B1118">
      <w:pPr>
        <w:spacing w:after="0" w:line="240" w:lineRule="auto"/>
      </w:pPr>
      <w:r>
        <w:separator/>
      </w:r>
    </w:p>
  </w:footnote>
  <w:footnote w:type="continuationSeparator" w:id="0">
    <w:p w14:paraId="7F79F4B4" w14:textId="77777777" w:rsidR="00006D58" w:rsidRDefault="00006D58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5E410697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79E4EC0F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1BC89253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FA6B48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3968B1E7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007DC55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7409171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33F9C910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78A2309F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40337730" wp14:editId="117054BE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13045FE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10A32F9A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3" w15:restartNumberingAfterBreak="0">
    <w:nsid w:val="46916165"/>
    <w:multiLevelType w:val="hybridMultilevel"/>
    <w:tmpl w:val="710EC77A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7623"/>
    <w:multiLevelType w:val="hybridMultilevel"/>
    <w:tmpl w:val="C2421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0"/>
    <w:rsid w:val="00006D58"/>
    <w:rsid w:val="000504A0"/>
    <w:rsid w:val="00067FDB"/>
    <w:rsid w:val="000A1C45"/>
    <w:rsid w:val="000A6D5A"/>
    <w:rsid w:val="000C50CA"/>
    <w:rsid w:val="0011708E"/>
    <w:rsid w:val="00135A4D"/>
    <w:rsid w:val="00182603"/>
    <w:rsid w:val="001A491C"/>
    <w:rsid w:val="001F062C"/>
    <w:rsid w:val="00341D41"/>
    <w:rsid w:val="003D64C7"/>
    <w:rsid w:val="003F4436"/>
    <w:rsid w:val="00401B78"/>
    <w:rsid w:val="00403313"/>
    <w:rsid w:val="00441807"/>
    <w:rsid w:val="00470534"/>
    <w:rsid w:val="00475D15"/>
    <w:rsid w:val="00480614"/>
    <w:rsid w:val="0048230D"/>
    <w:rsid w:val="00493227"/>
    <w:rsid w:val="004F2068"/>
    <w:rsid w:val="00525CBB"/>
    <w:rsid w:val="00537C4D"/>
    <w:rsid w:val="00553171"/>
    <w:rsid w:val="00567FA9"/>
    <w:rsid w:val="005A08BE"/>
    <w:rsid w:val="005B42FD"/>
    <w:rsid w:val="005C728F"/>
    <w:rsid w:val="005D726A"/>
    <w:rsid w:val="00654516"/>
    <w:rsid w:val="006823C4"/>
    <w:rsid w:val="00715183"/>
    <w:rsid w:val="0075352C"/>
    <w:rsid w:val="007873BF"/>
    <w:rsid w:val="007A67B5"/>
    <w:rsid w:val="007B1118"/>
    <w:rsid w:val="007B7AC0"/>
    <w:rsid w:val="007E2D3C"/>
    <w:rsid w:val="008012D5"/>
    <w:rsid w:val="008A7949"/>
    <w:rsid w:val="008C3230"/>
    <w:rsid w:val="00932701"/>
    <w:rsid w:val="00947678"/>
    <w:rsid w:val="00953EBE"/>
    <w:rsid w:val="00996C71"/>
    <w:rsid w:val="009B11F0"/>
    <w:rsid w:val="009D66F5"/>
    <w:rsid w:val="00A81131"/>
    <w:rsid w:val="00A83487"/>
    <w:rsid w:val="00AA375B"/>
    <w:rsid w:val="00AC0945"/>
    <w:rsid w:val="00AD5F28"/>
    <w:rsid w:val="00AD7DF8"/>
    <w:rsid w:val="00AF4875"/>
    <w:rsid w:val="00B01FEF"/>
    <w:rsid w:val="00B75112"/>
    <w:rsid w:val="00B85A22"/>
    <w:rsid w:val="00BC4847"/>
    <w:rsid w:val="00BE64FB"/>
    <w:rsid w:val="00C532E7"/>
    <w:rsid w:val="00C95682"/>
    <w:rsid w:val="00CF307C"/>
    <w:rsid w:val="00D7586C"/>
    <w:rsid w:val="00DB3A31"/>
    <w:rsid w:val="00E04855"/>
    <w:rsid w:val="00E11FE3"/>
    <w:rsid w:val="00E275CA"/>
    <w:rsid w:val="00E33F1D"/>
    <w:rsid w:val="00E672FA"/>
    <w:rsid w:val="00E82D04"/>
    <w:rsid w:val="00F33C39"/>
    <w:rsid w:val="00F56AC5"/>
    <w:rsid w:val="00FD0A44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CFA84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customStyle="1" w:styleId="Default">
    <w:name w:val="Default"/>
    <w:rsid w:val="00403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umer@hcq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mer@hcq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q.org.au/wp-content/uploads/2015/12/Consumer-Remuneration-Rates-Dec-2015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linicalexcellence.qld.gov.au/priority-areas/clinician-engagement/statewide-clinical-networ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BBDF3-55D2-4248-95FA-05FE84C3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E7EE5-250A-4E01-9366-3DC97312194E}">
  <ds:schemaRefs>
    <ds:schemaRef ds:uri="http://schemas.microsoft.com/office/2006/documentManagement/types"/>
    <ds:schemaRef ds:uri="http://schemas.microsoft.com/office/infopath/2007/PartnerControls"/>
    <ds:schemaRef ds:uri="cd825132-467c-41f6-9969-f0c1c8cfc3d1"/>
    <ds:schemaRef ds:uri="http://purl.org/dc/elements/1.1/"/>
    <ds:schemaRef ds:uri="http://schemas.microsoft.com/office/2006/metadata/properties"/>
    <ds:schemaRef ds:uri="2ca354fd-4360-4dc8-a020-e61f774bcd2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7</cp:revision>
  <dcterms:created xsi:type="dcterms:W3CDTF">2020-07-15T06:10:00Z</dcterms:created>
  <dcterms:modified xsi:type="dcterms:W3CDTF">2020-07-15T06:15:00Z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