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FCF7" w14:textId="682A525D" w:rsidR="007A67B5" w:rsidRDefault="004C2ECD" w:rsidP="004C2ECD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Consumer Representative Opportunity: </w:t>
      </w:r>
      <w:r w:rsidR="00C4616B">
        <w:rPr>
          <w:sz w:val="36"/>
        </w:rPr>
        <w:t xml:space="preserve">Application for </w:t>
      </w:r>
      <w:proofErr w:type="spellStart"/>
      <w:r w:rsidR="00C4616B">
        <w:rPr>
          <w:sz w:val="36"/>
        </w:rPr>
        <w:t>Statewide</w:t>
      </w:r>
      <w:proofErr w:type="spellEnd"/>
      <w:r w:rsidR="00C4616B">
        <w:rPr>
          <w:sz w:val="36"/>
        </w:rPr>
        <w:t xml:space="preserve"> Services Advisory Committee Member</w:t>
      </w:r>
    </w:p>
    <w:p w14:paraId="56C04FF1" w14:textId="3D44419E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4C2ECD">
        <w:rPr>
          <w:rFonts w:asciiTheme="minorHAnsi" w:hAnsiTheme="minorHAnsi" w:cstheme="minorHAnsi"/>
          <w:color w:val="auto"/>
          <w:sz w:val="22"/>
        </w:rPr>
        <w:t xml:space="preserve">9am </w:t>
      </w:r>
      <w:r w:rsidR="004A2F41">
        <w:rPr>
          <w:rFonts w:asciiTheme="minorHAnsi" w:hAnsiTheme="minorHAnsi" w:cstheme="minorHAnsi"/>
          <w:color w:val="auto"/>
          <w:sz w:val="22"/>
        </w:rPr>
        <w:t>Tues</w:t>
      </w:r>
      <w:r w:rsidR="00C4616B">
        <w:rPr>
          <w:rFonts w:asciiTheme="minorHAnsi" w:hAnsiTheme="minorHAnsi" w:cstheme="minorHAnsi"/>
          <w:color w:val="auto"/>
          <w:sz w:val="22"/>
        </w:rPr>
        <w:t xml:space="preserve">day </w:t>
      </w:r>
      <w:r w:rsidR="004A2F41">
        <w:rPr>
          <w:rFonts w:asciiTheme="minorHAnsi" w:hAnsiTheme="minorHAnsi" w:cstheme="minorHAnsi"/>
          <w:color w:val="auto"/>
          <w:sz w:val="22"/>
        </w:rPr>
        <w:t>6</w:t>
      </w:r>
      <w:r w:rsidR="00C4616B">
        <w:rPr>
          <w:rFonts w:asciiTheme="minorHAnsi" w:hAnsiTheme="minorHAnsi" w:cstheme="minorHAnsi"/>
          <w:color w:val="auto"/>
          <w:sz w:val="22"/>
        </w:rPr>
        <w:t xml:space="preserve"> </w:t>
      </w:r>
      <w:proofErr w:type="gramStart"/>
      <w:r w:rsidR="00C4616B">
        <w:rPr>
          <w:rFonts w:asciiTheme="minorHAnsi" w:hAnsiTheme="minorHAnsi" w:cstheme="minorHAnsi"/>
          <w:color w:val="auto"/>
          <w:sz w:val="22"/>
        </w:rPr>
        <w:t>October</w:t>
      </w:r>
      <w:r w:rsidR="004C2ECD">
        <w:rPr>
          <w:rFonts w:asciiTheme="minorHAnsi" w:hAnsiTheme="minorHAnsi" w:cstheme="minorHAnsi"/>
          <w:color w:val="auto"/>
          <w:sz w:val="22"/>
        </w:rPr>
        <w:t>,</w:t>
      </w:r>
      <w:proofErr w:type="gramEnd"/>
      <w:r w:rsidR="00C4616B">
        <w:rPr>
          <w:rFonts w:asciiTheme="minorHAnsi" w:hAnsiTheme="minorHAnsi" w:cstheme="minorHAnsi"/>
          <w:color w:val="auto"/>
          <w:sz w:val="22"/>
        </w:rPr>
        <w:t xml:space="preserve"> 2020</w:t>
      </w:r>
    </w:p>
    <w:p w14:paraId="2AC7C3F1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4DCC361B" w14:textId="45BB98D4" w:rsidR="00681C93" w:rsidRDefault="00681C93" w:rsidP="0011708E">
      <w:pPr>
        <w:ind w:right="-755"/>
      </w:pPr>
      <w:r>
        <w:t xml:space="preserve">The Department of Health is providing </w:t>
      </w:r>
      <w:r w:rsidR="00D75B3A">
        <w:t>one (1)</w:t>
      </w:r>
      <w:r>
        <w:t xml:space="preserve"> health consumer representative the opportunity to participate in the Statewide Services Advisory Committee (SSAC) to help establish system-level performance oversight and monitoring of statewide and highly </w:t>
      </w:r>
      <w:proofErr w:type="spellStart"/>
      <w:r>
        <w:t>specialised</w:t>
      </w:r>
      <w:proofErr w:type="spellEnd"/>
      <w:r>
        <w:t xml:space="preserve"> services.</w:t>
      </w:r>
    </w:p>
    <w:p w14:paraId="2E4484B3" w14:textId="558FE485" w:rsidR="00681C93" w:rsidRDefault="00681C93" w:rsidP="0011708E">
      <w:pPr>
        <w:ind w:right="-755"/>
      </w:pPr>
      <w:r>
        <w:t>Statewide services are described as those where</w:t>
      </w:r>
      <w:r w:rsidR="00EB20EB">
        <w:t xml:space="preserve"> there is</w:t>
      </w:r>
      <w:r>
        <w:t xml:space="preserve"> </w:t>
      </w:r>
      <w:r w:rsidR="00512328">
        <w:t xml:space="preserve">advantage </w:t>
      </w:r>
      <w:r w:rsidR="00030823">
        <w:t>in</w:t>
      </w:r>
      <w:r w:rsidR="00512328">
        <w:t xml:space="preserve"> having a system-wide model of service delivery and the Department of Health commissions the service from one (or a limited number of) Hospital and Health Services (HHSs) on behalf of other HHSs in the state.</w:t>
      </w:r>
    </w:p>
    <w:p w14:paraId="2B2F5CBB" w14:textId="5932EBCE" w:rsidR="00512328" w:rsidRDefault="00316880" w:rsidP="0011708E">
      <w:pPr>
        <w:ind w:right="-755"/>
      </w:pPr>
      <w:hyperlink r:id="rId10" w:history="1">
        <w:r w:rsidR="00512328" w:rsidRPr="002E45BD">
          <w:rPr>
            <w:rStyle w:val="Hyperlink"/>
          </w:rPr>
          <w:t>https://www.health.qld.gov.au/</w:t>
        </w:r>
      </w:hyperlink>
      <w:r w:rsidR="00512328">
        <w:t xml:space="preserve"> </w:t>
      </w:r>
    </w:p>
    <w:p w14:paraId="3C5BE0AE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76D4A639" w14:textId="5D0CED42" w:rsidR="00512328" w:rsidRDefault="00512328" w:rsidP="0011708E">
      <w:pPr>
        <w:ind w:right="-755"/>
        <w:rPr>
          <w:bCs/>
        </w:rPr>
      </w:pPr>
      <w:r w:rsidRPr="00512328">
        <w:rPr>
          <w:bCs/>
        </w:rPr>
        <w:t xml:space="preserve">The SSAC has been established to provide recommendations to the System Management advisory Committee (SMC) on establishing system-level, performance oversight and monitoring of statewide and highly </w:t>
      </w:r>
      <w:proofErr w:type="spellStart"/>
      <w:r w:rsidRPr="00512328">
        <w:rPr>
          <w:bCs/>
        </w:rPr>
        <w:t>specialised</w:t>
      </w:r>
      <w:proofErr w:type="spellEnd"/>
      <w:r w:rsidRPr="00512328">
        <w:rPr>
          <w:bCs/>
        </w:rPr>
        <w:t xml:space="preserve"> services.</w:t>
      </w:r>
      <w:r>
        <w:rPr>
          <w:bCs/>
        </w:rPr>
        <w:t xml:space="preserve"> The SSAC will address</w:t>
      </w:r>
      <w:r w:rsidRPr="00512328">
        <w:rPr>
          <w:bCs/>
        </w:rPr>
        <w:t xml:space="preserve"> a range of issues to create safe, high quality, accessible and clinically sustainable </w:t>
      </w:r>
      <w:r>
        <w:rPr>
          <w:bCs/>
        </w:rPr>
        <w:t xml:space="preserve">statewide and highly </w:t>
      </w:r>
      <w:proofErr w:type="spellStart"/>
      <w:r>
        <w:rPr>
          <w:bCs/>
        </w:rPr>
        <w:t>speciali</w:t>
      </w:r>
      <w:r w:rsidR="00030823">
        <w:rPr>
          <w:bCs/>
        </w:rPr>
        <w:t>s</w:t>
      </w:r>
      <w:r>
        <w:rPr>
          <w:bCs/>
        </w:rPr>
        <w:t>ed</w:t>
      </w:r>
      <w:proofErr w:type="spellEnd"/>
      <w:r>
        <w:rPr>
          <w:bCs/>
        </w:rPr>
        <w:t xml:space="preserve"> services. </w:t>
      </w:r>
    </w:p>
    <w:p w14:paraId="04FA000B" w14:textId="77777777" w:rsidR="00512328" w:rsidRPr="00512328" w:rsidRDefault="00512328" w:rsidP="00512328">
      <w:pPr>
        <w:pStyle w:val="BodyText2Column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In its role, the SSAC will make recommendations to SMC, and SMC may refer issues to the SSAC for advice on:</w:t>
      </w:r>
    </w:p>
    <w:p w14:paraId="05E0508F" w14:textId="77777777" w:rsidR="00512328" w:rsidRPr="00512328" w:rsidRDefault="00512328" w:rsidP="00512328">
      <w:pPr>
        <w:pStyle w:val="NumberedList2Column"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</w:pPr>
      <w:r w:rsidRPr="00512328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  <w:t xml:space="preserve">Establishing system performance monitoring (inclusive of clinical outcomes, equity of access and key performance indicators) </w:t>
      </w:r>
    </w:p>
    <w:p w14:paraId="097F3806" w14:textId="77777777" w:rsidR="00512328" w:rsidRPr="00512328" w:rsidRDefault="00512328" w:rsidP="00512328">
      <w:pPr>
        <w:pStyle w:val="NumberedList2Column"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</w:pPr>
      <w:r w:rsidRPr="00512328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  <w:t>Establishing strategic governance arrangements to support the performance monitoring function</w:t>
      </w:r>
    </w:p>
    <w:p w14:paraId="7094E8E3" w14:textId="77777777" w:rsidR="00512328" w:rsidRPr="00512328" w:rsidRDefault="00512328" w:rsidP="00512328">
      <w:pPr>
        <w:pStyle w:val="NumberedList2Column"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</w:pPr>
      <w:r w:rsidRPr="00512328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  <w:t xml:space="preserve">Deciding system manager governance to monitor the performance of non-clinical statewide services  </w:t>
      </w:r>
    </w:p>
    <w:p w14:paraId="1BB73AD6" w14:textId="77777777" w:rsidR="00512328" w:rsidRPr="00512328" w:rsidRDefault="00512328" w:rsidP="00512328">
      <w:pPr>
        <w:pStyle w:val="NumberedList2Column"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</w:pPr>
      <w:r w:rsidRPr="00512328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  <w:t xml:space="preserve">Establishing a process to determine new statewide or highly </w:t>
      </w:r>
      <w:proofErr w:type="spellStart"/>
      <w:r w:rsidRPr="00512328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  <w:t>specialised</w:t>
      </w:r>
      <w:proofErr w:type="spellEnd"/>
      <w:r w:rsidRPr="00512328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  <w:t xml:space="preserve"> services</w:t>
      </w:r>
    </w:p>
    <w:p w14:paraId="5674FEBA" w14:textId="70CBA2FC" w:rsidR="00512328" w:rsidRPr="00512328" w:rsidRDefault="00512328" w:rsidP="00512328">
      <w:pPr>
        <w:pStyle w:val="NumberedList2Column"/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</w:pPr>
      <w:r w:rsidRPr="00512328"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  <w:t>Approach to purchasing services for the 2021-22 service agreements and future service agreements.</w:t>
      </w:r>
    </w:p>
    <w:p w14:paraId="47C210B0" w14:textId="5D1DD48C" w:rsidR="00512328" w:rsidRPr="00512328" w:rsidRDefault="00512328" w:rsidP="00512328">
      <w:pPr>
        <w:pStyle w:val="BodyText2Column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Membership of the Committee will include:</w:t>
      </w:r>
    </w:p>
    <w:p w14:paraId="24F8BBBA" w14:textId="1967856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Deputy Director-General, Healthcare Purchasing and System Performance Division (Chair)</w:t>
      </w:r>
    </w:p>
    <w:p w14:paraId="327578CB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Deputy Director General, Clinical Excellence Queensland</w:t>
      </w:r>
    </w:p>
    <w:p w14:paraId="5FA7C8E7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Health Service Chief Executive Forum</w:t>
      </w:r>
    </w:p>
    <w:p w14:paraId="3C391BD3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Queensland Clinical Senate representative</w:t>
      </w:r>
    </w:p>
    <w:p w14:paraId="75ED4790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Chair, Clinical Network Executive Committee </w:t>
      </w:r>
    </w:p>
    <w:p w14:paraId="2ADF5E51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Chief Executive, Health Consumers Queensland</w:t>
      </w:r>
    </w:p>
    <w:p w14:paraId="56321EC5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lastRenderedPageBreak/>
        <w:t>Acting Deputy Director-General and Chief Medical Officer Prevention Division, and Chief Clinical Information Officer</w:t>
      </w:r>
    </w:p>
    <w:p w14:paraId="5BD34122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Senior Director, Mental Health, Alcohol and Other Drugs Branch, Clinical Excellence Division</w:t>
      </w:r>
    </w:p>
    <w:p w14:paraId="52769FD3" w14:textId="13E3AA46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Executive Director, </w:t>
      </w:r>
      <w:r w:rsidR="00DE19E4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Aeromedical </w:t>
      </w: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Retrieval </w:t>
      </w:r>
      <w:r w:rsidR="00DE19E4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and Disaster Management </w:t>
      </w:r>
    </w:p>
    <w:p w14:paraId="2BDE3FC4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Executive Director, Health Service Strategy and Planning Metro North HHS</w:t>
      </w:r>
    </w:p>
    <w:p w14:paraId="0840FB14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Director Strategy and Planning, Children’s Health Queensland</w:t>
      </w:r>
    </w:p>
    <w:p w14:paraId="3FECDC92" w14:textId="77777777" w:rsidR="00512328" w:rsidRPr="00512328" w:rsidRDefault="00512328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12328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Consumer representative.</w:t>
      </w:r>
    </w:p>
    <w:p w14:paraId="0EC40E02" w14:textId="77777777" w:rsidR="00512328" w:rsidRPr="00512328" w:rsidRDefault="00512328" w:rsidP="00512328">
      <w:pPr>
        <w:pStyle w:val="NumberedList2Column"/>
        <w:numPr>
          <w:ilvl w:val="0"/>
          <w:numId w:val="0"/>
        </w:numPr>
        <w:rPr>
          <w:rFonts w:asciiTheme="minorHAnsi" w:eastAsiaTheme="minorHAnsi" w:hAnsiTheme="minorHAnsi" w:cstheme="minorBidi"/>
          <w:bCs/>
          <w:color w:val="auto"/>
          <w:kern w:val="0"/>
          <w:sz w:val="22"/>
          <w:szCs w:val="22"/>
          <w14:numSpacing w14:val="default"/>
        </w:rPr>
      </w:pPr>
    </w:p>
    <w:p w14:paraId="43DB459E" w14:textId="552FAD9C" w:rsidR="0011708E" w:rsidRDefault="00512328" w:rsidP="0011708E">
      <w:pPr>
        <w:ind w:right="-755"/>
      </w:pPr>
      <w:r w:rsidRPr="00512328">
        <w:t>The SSAC Terms of Reference are attached.</w:t>
      </w:r>
    </w:p>
    <w:p w14:paraId="0A0030FF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5912BA02" w14:textId="6FAB7A60" w:rsidR="007A67B5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>all S</w:t>
      </w:r>
      <w:r w:rsidR="00512328">
        <w:t>SAC</w:t>
      </w:r>
      <w:r>
        <w:t xml:space="preserve"> meetings and to a</w:t>
      </w:r>
      <w:r w:rsidRPr="00C65182">
        <w:t xml:space="preserve">ctively participate in all Steering Committee activities such as </w:t>
      </w:r>
      <w:r>
        <w:t>pre-meeting reading, discussions, provision of feedback and advice</w:t>
      </w:r>
      <w:r w:rsidR="00DE19E4">
        <w:t>, including on out-of-session matters</w:t>
      </w:r>
      <w:r>
        <w:t xml:space="preserve">. </w:t>
      </w:r>
    </w:p>
    <w:p w14:paraId="3E76BEC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5151D8A5" w14:textId="0BA4D35F" w:rsidR="005A08BE" w:rsidRDefault="005A08BE" w:rsidP="005A08BE">
      <w:pPr>
        <w:ind w:right="-755"/>
      </w:pPr>
      <w:r>
        <w:t xml:space="preserve">This opportunity would suit a consumer or </w:t>
      </w:r>
      <w:proofErr w:type="spellStart"/>
      <w:r>
        <w:t>carer</w:t>
      </w:r>
      <w:proofErr w:type="spellEnd"/>
      <w:r>
        <w:t xml:space="preserve"> representative with at least 6 </w:t>
      </w:r>
      <w:r w:rsidR="00AF6A6F">
        <w:t xml:space="preserve">-12 </w:t>
      </w:r>
      <w:r>
        <w:t>months</w:t>
      </w:r>
      <w:r w:rsidR="00DE19E4">
        <w:t xml:space="preserve"> </w:t>
      </w:r>
      <w:r>
        <w:t xml:space="preserve">committee experience, either at the Hospital and Health Service, or Statewide level. </w:t>
      </w:r>
    </w:p>
    <w:p w14:paraId="7C4927B3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3D7A7665" w14:textId="5CCCBE00" w:rsidR="00512328" w:rsidRPr="00512328" w:rsidRDefault="00512328" w:rsidP="005D726A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512328">
        <w:rPr>
          <w:bCs/>
        </w:rPr>
        <w:t>The first meeting will be held on Wednesday 14 October 2020</w:t>
      </w:r>
      <w:r w:rsidR="00DE19E4">
        <w:rPr>
          <w:bCs/>
        </w:rPr>
        <w:t xml:space="preserve"> and every month thereafter</w:t>
      </w:r>
      <w:r w:rsidRPr="00512328">
        <w:rPr>
          <w:bCs/>
        </w:rPr>
        <w:t>.</w:t>
      </w:r>
    </w:p>
    <w:p w14:paraId="743A00C9" w14:textId="4C4A9D06" w:rsidR="005D726A" w:rsidRPr="00512328" w:rsidRDefault="00512328" w:rsidP="007A67B5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512328">
        <w:rPr>
          <w:bCs/>
        </w:rPr>
        <w:t>Meetings will be held at the Department of Health, 33 Charlotte St Brisbane</w:t>
      </w:r>
      <w:r>
        <w:rPr>
          <w:bCs/>
        </w:rPr>
        <w:t xml:space="preserve"> with a </w:t>
      </w:r>
      <w:r w:rsidRPr="00512328">
        <w:rPr>
          <w:bCs/>
        </w:rPr>
        <w:t xml:space="preserve">Microsoft </w:t>
      </w:r>
      <w:r>
        <w:rPr>
          <w:bCs/>
        </w:rPr>
        <w:t>T</w:t>
      </w:r>
      <w:r w:rsidRPr="00512328">
        <w:rPr>
          <w:bCs/>
        </w:rPr>
        <w:t xml:space="preserve">eams facility available for </w:t>
      </w:r>
      <w:r>
        <w:rPr>
          <w:bCs/>
        </w:rPr>
        <w:t>participants</w:t>
      </w:r>
      <w:r w:rsidRPr="00512328">
        <w:rPr>
          <w:bCs/>
        </w:rPr>
        <w:t xml:space="preserve"> to attend remotely.</w:t>
      </w:r>
    </w:p>
    <w:p w14:paraId="703D1AB9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5824DD62" w14:textId="6576CE1D" w:rsidR="005D726A" w:rsidRPr="00DE276A" w:rsidRDefault="007A67B5" w:rsidP="007A67B5">
      <w:r w:rsidRPr="00DE276A">
        <w:t xml:space="preserve">Consumers will be remunerated for their time in line with </w:t>
      </w:r>
      <w:hyperlink r:id="rId11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  <w:r>
        <w:t>Parking and travel expenses will be covered</w:t>
      </w:r>
      <w:r w:rsidR="00512328">
        <w:t xml:space="preserve"> (Brisbane only) if participants are requested to attend in person</w:t>
      </w:r>
      <w:r>
        <w:t xml:space="preserve">. </w:t>
      </w:r>
    </w:p>
    <w:p w14:paraId="194DDB0F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AD99BD9" w14:textId="312859CB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2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191358">
        <w:rPr>
          <w:rStyle w:val="Hyperlink"/>
          <w:b/>
          <w:bCs/>
          <w:color w:val="auto"/>
          <w:u w:val="none"/>
        </w:rPr>
        <w:t xml:space="preserve">by </w:t>
      </w:r>
      <w:r w:rsidR="00191358">
        <w:rPr>
          <w:rStyle w:val="Hyperlink"/>
          <w:b/>
          <w:bCs/>
          <w:color w:val="auto"/>
          <w:u w:val="none"/>
        </w:rPr>
        <w:t xml:space="preserve">9.00am </w:t>
      </w:r>
      <w:r w:rsidR="00C859A5" w:rsidRPr="00191358">
        <w:rPr>
          <w:rStyle w:val="Hyperlink"/>
          <w:b/>
          <w:bCs/>
          <w:color w:val="auto"/>
          <w:u w:val="none"/>
        </w:rPr>
        <w:t>Tues</w:t>
      </w:r>
      <w:r w:rsidR="00512328" w:rsidRPr="00191358">
        <w:rPr>
          <w:rStyle w:val="Hyperlink"/>
          <w:b/>
          <w:bCs/>
          <w:color w:val="auto"/>
          <w:u w:val="none"/>
        </w:rPr>
        <w:t xml:space="preserve">day </w:t>
      </w:r>
      <w:r w:rsidR="00C859A5" w:rsidRPr="00191358">
        <w:rPr>
          <w:rStyle w:val="Hyperlink"/>
          <w:b/>
          <w:bCs/>
          <w:color w:val="auto"/>
          <w:u w:val="none"/>
        </w:rPr>
        <w:t>6</w:t>
      </w:r>
      <w:r w:rsidR="00512328" w:rsidRPr="00191358">
        <w:rPr>
          <w:rStyle w:val="Hyperlink"/>
          <w:b/>
          <w:bCs/>
          <w:color w:val="auto"/>
          <w:u w:val="none"/>
        </w:rPr>
        <w:t xml:space="preserve"> October</w:t>
      </w:r>
      <w:r w:rsidRPr="00191358">
        <w:rPr>
          <w:rStyle w:val="Hyperlink"/>
          <w:b/>
          <w:bCs/>
          <w:color w:val="auto"/>
          <w:u w:val="none"/>
        </w:rPr>
        <w:t>.</w:t>
      </w:r>
      <w:r w:rsidRPr="00996C71">
        <w:rPr>
          <w:rStyle w:val="Hyperlink"/>
          <w:b/>
          <w:color w:val="auto"/>
        </w:rPr>
        <w:t xml:space="preserve"> </w:t>
      </w:r>
    </w:p>
    <w:p w14:paraId="693CC605" w14:textId="77777777" w:rsidR="007A67B5" w:rsidRDefault="007A67B5" w:rsidP="007A67B5">
      <w:r w:rsidRPr="00F274C6">
        <w:t xml:space="preserve">For assistance please contact Health Consumers Queensland via </w:t>
      </w:r>
      <w:hyperlink r:id="rId13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1DB8C74A" w14:textId="24D5739F" w:rsidR="004A2F41" w:rsidRDefault="004A2F41" w:rsidP="007A67B5">
      <w:pPr>
        <w:jc w:val="center"/>
        <w:rPr>
          <w:b/>
          <w:sz w:val="32"/>
          <w:szCs w:val="24"/>
        </w:rPr>
      </w:pPr>
    </w:p>
    <w:p w14:paraId="2BC15CA0" w14:textId="77777777" w:rsidR="00A86BC8" w:rsidRDefault="00A86BC8" w:rsidP="007A67B5">
      <w:pPr>
        <w:jc w:val="center"/>
        <w:rPr>
          <w:b/>
          <w:sz w:val="32"/>
          <w:szCs w:val="24"/>
        </w:rPr>
      </w:pPr>
    </w:p>
    <w:p w14:paraId="5B85A720" w14:textId="1D609820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Consumer Application Form</w:t>
      </w:r>
    </w:p>
    <w:p w14:paraId="31695363" w14:textId="3087B08C" w:rsidR="00947678" w:rsidRPr="00996C71" w:rsidRDefault="00FF4864" w:rsidP="005D726A">
      <w:pPr>
        <w:jc w:val="center"/>
        <w:rPr>
          <w:b/>
          <w:sz w:val="32"/>
          <w:szCs w:val="24"/>
        </w:rPr>
      </w:pPr>
      <w:r w:rsidRPr="00FF4864">
        <w:rPr>
          <w:b/>
          <w:sz w:val="32"/>
          <w:szCs w:val="24"/>
        </w:rPr>
        <w:t>Statewide Services Advisory Committee Member</w:t>
      </w:r>
    </w:p>
    <w:p w14:paraId="30B0D1D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A6FB70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7ACDFDD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B8FB03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626908A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27E99A1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DD8ABF2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C4969DB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76EFC02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67C69F88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4"/>
          <w:footerReference w:type="default" r:id="rId15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9E3173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27FDBD7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4C5B6CEE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6EBE5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35895F0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720EA12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3649FFD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FE8691E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22157C77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2D54AF88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4DEC721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18A04D9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76E8B3B9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5843B791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8E61D27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6EF93516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13CC857A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76779D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7AE29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41127D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F3D12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6C410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1C82A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28296021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6599E6A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71F2CD6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207EFE7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558B2272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55B54BBA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726F005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you’re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expressing interest in. Give an indication of how long each position was for, and any relevant highlights. </w:t>
      </w:r>
    </w:p>
    <w:p w14:paraId="1BD2B44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D5BC88F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52A06F1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8592217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E7DC4B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09EF895B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5750D5F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368EE0E3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</w:t>
      </w:r>
      <w:proofErr w:type="gramStart"/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>you’re</w:t>
      </w:r>
      <w:proofErr w:type="gramEnd"/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 applying for. </w:t>
      </w:r>
    </w:p>
    <w:p w14:paraId="2256231B" w14:textId="77777777" w:rsidR="008012D5" w:rsidRPr="00567FA9" w:rsidRDefault="008012D5" w:rsidP="00553171">
      <w:pPr>
        <w:pStyle w:val="TableParagraph"/>
        <w:spacing w:before="118"/>
      </w:pPr>
    </w:p>
    <w:p w14:paraId="5D8D96F4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BE4E7CF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AF80C2D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8F805CC" w14:textId="4D059A52" w:rsidR="008012D5" w:rsidRPr="00480614" w:rsidRDefault="00E82D04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316880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316880" w:rsidRPr="00316880">
        <w:rPr>
          <w:rFonts w:asciiTheme="minorHAnsi" w:hAnsiTheme="minorHAnsi" w:cstheme="minorHAnsi"/>
          <w:color w:val="auto"/>
          <w:sz w:val="22"/>
        </w:rPr>
        <w:t xml:space="preserve">joining the </w:t>
      </w:r>
      <w:proofErr w:type="spellStart"/>
      <w:r w:rsidR="00316880" w:rsidRPr="00316880">
        <w:rPr>
          <w:rFonts w:asciiTheme="minorHAnsi" w:hAnsiTheme="minorHAnsi" w:cstheme="minorHAnsi"/>
          <w:color w:val="auto"/>
          <w:sz w:val="22"/>
        </w:rPr>
        <w:t>Statewide</w:t>
      </w:r>
      <w:proofErr w:type="spellEnd"/>
      <w:r w:rsidR="00316880" w:rsidRPr="00316880">
        <w:rPr>
          <w:rFonts w:asciiTheme="minorHAnsi" w:hAnsiTheme="minorHAnsi" w:cstheme="minorHAnsi"/>
          <w:color w:val="auto"/>
          <w:sz w:val="22"/>
        </w:rPr>
        <w:t xml:space="preserve"> Services Advisory </w:t>
      </w:r>
      <w:proofErr w:type="gramStart"/>
      <w:r w:rsidR="00316880" w:rsidRPr="00316880">
        <w:rPr>
          <w:rFonts w:asciiTheme="minorHAnsi" w:hAnsiTheme="minorHAnsi" w:cstheme="minorHAnsi"/>
          <w:color w:val="auto"/>
          <w:sz w:val="22"/>
        </w:rPr>
        <w:t>Committee</w:t>
      </w:r>
      <w:r w:rsidR="00480614" w:rsidRPr="00316880">
        <w:rPr>
          <w:rFonts w:asciiTheme="minorHAnsi" w:hAnsiTheme="minorHAnsi" w:cstheme="minorHAnsi"/>
          <w:color w:val="auto"/>
          <w:sz w:val="22"/>
        </w:rPr>
        <w:t>?</w:t>
      </w:r>
      <w:proofErr w:type="gramEnd"/>
      <w:r w:rsidR="00480614" w:rsidRPr="00316880"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7E0328DD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5A43AA9B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70F4F41E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00460DC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9FDD377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Please provide contact details for a staff member from a health service or department you are currently partnering with. (we will advise if you are shortlisted before we contact your referee).</w:t>
      </w:r>
    </w:p>
    <w:p w14:paraId="19A67864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2265470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2263BCC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674EE0B5" w14:textId="636C8B35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r w:rsidR="00030823" w:rsidRPr="00567FA9">
        <w:rPr>
          <w:rFonts w:asciiTheme="minorHAnsi" w:hAnsiTheme="minorHAnsi" w:cstheme="minorHAnsi"/>
          <w:b w:val="0"/>
          <w:color w:val="auto"/>
          <w:sz w:val="22"/>
        </w:rPr>
        <w:t>e.g.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580F709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635F663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5DE019A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7944E9D1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B884C" w14:textId="77777777" w:rsidR="003D00E8" w:rsidRDefault="003D00E8" w:rsidP="007B1118">
      <w:pPr>
        <w:spacing w:after="0" w:line="240" w:lineRule="auto"/>
      </w:pPr>
      <w:r>
        <w:separator/>
      </w:r>
    </w:p>
  </w:endnote>
  <w:endnote w:type="continuationSeparator" w:id="0">
    <w:p w14:paraId="49C646DF" w14:textId="77777777" w:rsidR="003D00E8" w:rsidRDefault="003D00E8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AA4B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D8BCB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01329" w14:textId="77777777" w:rsidR="003D00E8" w:rsidRDefault="003D00E8" w:rsidP="007B1118">
      <w:pPr>
        <w:spacing w:after="0" w:line="240" w:lineRule="auto"/>
      </w:pPr>
      <w:r>
        <w:separator/>
      </w:r>
    </w:p>
  </w:footnote>
  <w:footnote w:type="continuationSeparator" w:id="0">
    <w:p w14:paraId="58DD99FE" w14:textId="77777777" w:rsidR="003D00E8" w:rsidRDefault="003D00E8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1E4276A2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5BF7D9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C71D01B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6CDD7B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51D9E13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2EA21BD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1C13535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4E3F6B9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54973E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F66A498" wp14:editId="5FC52F23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DF115F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87D032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5" w15:restartNumberingAfterBreak="0">
    <w:nsid w:val="48094328"/>
    <w:multiLevelType w:val="multilevel"/>
    <w:tmpl w:val="C2FE460C"/>
    <w:numStyleLink w:val="Bullets"/>
  </w:abstractNum>
  <w:abstractNum w:abstractNumId="6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62772"/>
    <w:multiLevelType w:val="hybridMultilevel"/>
    <w:tmpl w:val="D49C1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30823"/>
    <w:rsid w:val="000504A0"/>
    <w:rsid w:val="00067FDB"/>
    <w:rsid w:val="000A1C45"/>
    <w:rsid w:val="000A6D5A"/>
    <w:rsid w:val="0011708E"/>
    <w:rsid w:val="00191358"/>
    <w:rsid w:val="001A491C"/>
    <w:rsid w:val="00316880"/>
    <w:rsid w:val="00341D41"/>
    <w:rsid w:val="003D00E8"/>
    <w:rsid w:val="003F4436"/>
    <w:rsid w:val="00441807"/>
    <w:rsid w:val="00470534"/>
    <w:rsid w:val="00475D15"/>
    <w:rsid w:val="00480614"/>
    <w:rsid w:val="00493227"/>
    <w:rsid w:val="004A2F41"/>
    <w:rsid w:val="004A7DE4"/>
    <w:rsid w:val="004C2ECD"/>
    <w:rsid w:val="004F2068"/>
    <w:rsid w:val="00512328"/>
    <w:rsid w:val="00525CBB"/>
    <w:rsid w:val="00537C4D"/>
    <w:rsid w:val="00553171"/>
    <w:rsid w:val="00567FA9"/>
    <w:rsid w:val="005A08BE"/>
    <w:rsid w:val="005B42FD"/>
    <w:rsid w:val="005C728F"/>
    <w:rsid w:val="005D726A"/>
    <w:rsid w:val="00681C93"/>
    <w:rsid w:val="00715183"/>
    <w:rsid w:val="0075352C"/>
    <w:rsid w:val="007A67B5"/>
    <w:rsid w:val="007B1118"/>
    <w:rsid w:val="007B7AC0"/>
    <w:rsid w:val="007E2D3C"/>
    <w:rsid w:val="008012D5"/>
    <w:rsid w:val="00840B61"/>
    <w:rsid w:val="008A7949"/>
    <w:rsid w:val="008C3230"/>
    <w:rsid w:val="00947678"/>
    <w:rsid w:val="00953EBE"/>
    <w:rsid w:val="00996C71"/>
    <w:rsid w:val="009D66F5"/>
    <w:rsid w:val="00A81131"/>
    <w:rsid w:val="00A83487"/>
    <w:rsid w:val="00A86BC8"/>
    <w:rsid w:val="00AD5F28"/>
    <w:rsid w:val="00AD7DF8"/>
    <w:rsid w:val="00AF4875"/>
    <w:rsid w:val="00AF6A6F"/>
    <w:rsid w:val="00B01FEF"/>
    <w:rsid w:val="00B75112"/>
    <w:rsid w:val="00B85A22"/>
    <w:rsid w:val="00BC4847"/>
    <w:rsid w:val="00BE64FB"/>
    <w:rsid w:val="00C35C82"/>
    <w:rsid w:val="00C4616B"/>
    <w:rsid w:val="00C532E7"/>
    <w:rsid w:val="00C859A5"/>
    <w:rsid w:val="00C95682"/>
    <w:rsid w:val="00CF307C"/>
    <w:rsid w:val="00D366F9"/>
    <w:rsid w:val="00D7586C"/>
    <w:rsid w:val="00D75B3A"/>
    <w:rsid w:val="00DB3A31"/>
    <w:rsid w:val="00DE19E4"/>
    <w:rsid w:val="00E04855"/>
    <w:rsid w:val="00E82D04"/>
    <w:rsid w:val="00EB20EB"/>
    <w:rsid w:val="00F24C61"/>
    <w:rsid w:val="00F33C39"/>
    <w:rsid w:val="00F56AC5"/>
    <w:rsid w:val="00FD0A44"/>
    <w:rsid w:val="00FD57CA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4D9B49"/>
  <w15:chartTrackingRefBased/>
  <w15:docId w15:val="{F74BAB67-8303-4FD7-B958-BC60BC57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328"/>
    <w:rPr>
      <w:color w:val="605E5C"/>
      <w:shd w:val="clear" w:color="auto" w:fill="E1DFDD"/>
    </w:rPr>
  </w:style>
  <w:style w:type="paragraph" w:customStyle="1" w:styleId="BodyText2Column">
    <w:name w:val="Body Text 2 Column"/>
    <w:basedOn w:val="BodyText"/>
    <w:uiPriority w:val="99"/>
    <w:qFormat/>
    <w:rsid w:val="00512328"/>
    <w:pPr>
      <w:widowControl/>
      <w:spacing w:before="120" w:after="120" w:line="276" w:lineRule="auto"/>
      <w:ind w:left="0" w:right="0"/>
      <w:textboxTightWrap w:val="allLines"/>
    </w:pPr>
    <w:rPr>
      <w:rFonts w:ascii="Fira Sans" w:eastAsiaTheme="minorHAnsi" w:hAnsi="Fira Sans" w:cstheme="minorBidi"/>
      <w:color w:val="3B3838" w:themeColor="background2" w:themeShade="40"/>
      <w:kern w:val="19"/>
      <w:sz w:val="19"/>
      <w:szCs w:val="21"/>
      <w:lang w:val="en-AU"/>
      <w14:numSpacing w14:val="proportional"/>
    </w:rPr>
  </w:style>
  <w:style w:type="paragraph" w:customStyle="1" w:styleId="NumberedList2Column">
    <w:name w:val="Numbered List 2 Column"/>
    <w:uiPriority w:val="21"/>
    <w:qFormat/>
    <w:rsid w:val="00512328"/>
    <w:pPr>
      <w:numPr>
        <w:numId w:val="9"/>
      </w:numPr>
      <w:spacing w:after="0" w:line="276" w:lineRule="auto"/>
    </w:pPr>
    <w:rPr>
      <w:rFonts w:ascii="Fira Sans" w:eastAsia="Times New Roman" w:hAnsi="Fira Sans" w:cs="Times New Roman"/>
      <w:color w:val="404040" w:themeColor="text1" w:themeTint="BF"/>
      <w:kern w:val="19"/>
      <w:sz w:val="19"/>
      <w:szCs w:val="20"/>
      <w14:numSpacing w14:val="proportional"/>
    </w:rPr>
  </w:style>
  <w:style w:type="paragraph" w:styleId="ListBullet">
    <w:name w:val="List Bullet"/>
    <w:aliases w:val="Bulleted List"/>
    <w:basedOn w:val="BodyText"/>
    <w:uiPriority w:val="18"/>
    <w:qFormat/>
    <w:rsid w:val="00512328"/>
    <w:pPr>
      <w:widowControl/>
      <w:numPr>
        <w:numId w:val="11"/>
      </w:numPr>
      <w:spacing w:after="60" w:line="276" w:lineRule="auto"/>
      <w:ind w:right="0"/>
      <w:textboxTightWrap w:val="allLines"/>
    </w:pPr>
    <w:rPr>
      <w:rFonts w:ascii="Fira Sans" w:eastAsiaTheme="minorHAnsi" w:hAnsi="Fira Sans" w:cstheme="minorBidi"/>
      <w:color w:val="3B3838" w:themeColor="background2" w:themeShade="40"/>
      <w:kern w:val="21"/>
      <w:sz w:val="21"/>
      <w:lang w:val="en-AU" w:eastAsia="en-AU"/>
      <w14:numSpacing w14:val="proportional"/>
    </w:rPr>
  </w:style>
  <w:style w:type="numbering" w:customStyle="1" w:styleId="Bullets">
    <w:name w:val="Bullets"/>
    <w:uiPriority w:val="99"/>
    <w:rsid w:val="00512328"/>
    <w:pPr>
      <w:numPr>
        <w:numId w:val="10"/>
      </w:numPr>
    </w:pPr>
  </w:style>
  <w:style w:type="paragraph" w:customStyle="1" w:styleId="BulletList2Column">
    <w:name w:val="Bullet List 2 Column"/>
    <w:basedOn w:val="ListBullet"/>
    <w:uiPriority w:val="19"/>
    <w:qFormat/>
    <w:rsid w:val="00512328"/>
    <w:rPr>
      <w:kern w:val="1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ealth.qld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10</cp:revision>
  <dcterms:created xsi:type="dcterms:W3CDTF">2020-09-23T07:16:00Z</dcterms:created>
  <dcterms:modified xsi:type="dcterms:W3CDTF">2020-09-24T03:53:00Z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