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4F4D0" w14:textId="0D8BA13C" w:rsidR="00AD5F28" w:rsidRDefault="00921DD1" w:rsidP="00CF307C">
      <w:pPr>
        <w:pStyle w:val="StaffH1"/>
        <w:pBdr>
          <w:bottom w:val="single" w:sz="4" w:space="1" w:color="9B0552"/>
        </w:pBdr>
        <w:jc w:val="center"/>
        <w:rPr>
          <w:sz w:val="36"/>
        </w:rPr>
      </w:pPr>
      <w:r>
        <w:rPr>
          <w:sz w:val="36"/>
        </w:rPr>
        <w:t>Application for Working Group Member</w:t>
      </w:r>
    </w:p>
    <w:p w14:paraId="6A2E371A" w14:textId="035B7EB6" w:rsidR="007A67B5" w:rsidRDefault="00921DD1" w:rsidP="007A67B5">
      <w:pPr>
        <w:pStyle w:val="StaffH1"/>
        <w:pBdr>
          <w:bottom w:val="single" w:sz="4" w:space="1" w:color="9B0552"/>
        </w:pBdr>
        <w:jc w:val="center"/>
        <w:rPr>
          <w:sz w:val="36"/>
        </w:rPr>
      </w:pPr>
      <w:r>
        <w:rPr>
          <w:sz w:val="36"/>
        </w:rPr>
        <w:t xml:space="preserve">Addressing Low Benefit Care – Surgery </w:t>
      </w:r>
      <w:r w:rsidR="00CF307C">
        <w:rPr>
          <w:sz w:val="36"/>
        </w:rPr>
        <w:t>P</w:t>
      </w:r>
      <w:r w:rsidR="00CF307C" w:rsidRPr="00CF307C">
        <w:rPr>
          <w:sz w:val="36"/>
        </w:rPr>
        <w:t xml:space="preserve">roject </w:t>
      </w:r>
    </w:p>
    <w:p w14:paraId="0A04D531" w14:textId="115876F1"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BF2BD8">
        <w:rPr>
          <w:rFonts w:asciiTheme="minorHAnsi" w:hAnsiTheme="minorHAnsi" w:cstheme="minorHAnsi"/>
          <w:color w:val="auto"/>
          <w:sz w:val="22"/>
        </w:rPr>
        <w:t>9am, T</w:t>
      </w:r>
      <w:r w:rsidR="00BF2BD8" w:rsidRPr="00BF2BD8">
        <w:rPr>
          <w:rFonts w:asciiTheme="minorHAnsi" w:hAnsiTheme="minorHAnsi" w:cstheme="minorHAnsi"/>
          <w:color w:val="auto"/>
          <w:sz w:val="22"/>
        </w:rPr>
        <w:t>hursday 12 November</w:t>
      </w:r>
    </w:p>
    <w:p w14:paraId="76735CC3" w14:textId="6E6A7C65" w:rsidR="007A67B5" w:rsidRPr="007A67B5" w:rsidRDefault="00921DD1" w:rsidP="007A67B5">
      <w:pPr>
        <w:ind w:right="-755"/>
        <w:rPr>
          <w:rStyle w:val="Hyperlink"/>
          <w:bCs/>
          <w:color w:val="9B1D54"/>
          <w:sz w:val="28"/>
          <w:szCs w:val="28"/>
          <w:u w:val="none"/>
        </w:rPr>
      </w:pPr>
      <w:r>
        <w:rPr>
          <w:rStyle w:val="Hyperlink"/>
          <w:bCs/>
          <w:color w:val="9B1D54"/>
          <w:sz w:val="28"/>
          <w:szCs w:val="28"/>
          <w:u w:val="none"/>
        </w:rPr>
        <w:t>Clinical Excellence Queensland</w:t>
      </w:r>
    </w:p>
    <w:p w14:paraId="45DBF48C" w14:textId="3170FC14" w:rsidR="002425EC" w:rsidRPr="0043327F" w:rsidRDefault="00314282" w:rsidP="003640FA">
      <w:pPr>
        <w:spacing w:line="240" w:lineRule="auto"/>
        <w:ind w:right="-755"/>
        <w:rPr>
          <w:rFonts w:cstheme="minorHAnsi"/>
          <w:b/>
          <w:bCs/>
          <w:color w:val="000000"/>
        </w:rPr>
      </w:pPr>
      <w:r w:rsidRPr="0043327F">
        <w:rPr>
          <w:rFonts w:cstheme="minorHAnsi"/>
          <w:b/>
          <w:bCs/>
          <w:color w:val="000000"/>
        </w:rPr>
        <w:t xml:space="preserve">Clinical Excellence Queensland (CEQ) is recruiting </w:t>
      </w:r>
      <w:r w:rsidR="00EA193C" w:rsidRPr="0043327F">
        <w:rPr>
          <w:rFonts w:cstheme="minorHAnsi"/>
          <w:b/>
          <w:bCs/>
          <w:color w:val="000000"/>
        </w:rPr>
        <w:t>two</w:t>
      </w:r>
      <w:r w:rsidR="005256FE" w:rsidRPr="0043327F">
        <w:rPr>
          <w:rFonts w:cstheme="minorHAnsi"/>
          <w:b/>
          <w:bCs/>
          <w:color w:val="000000"/>
        </w:rPr>
        <w:t xml:space="preserve"> </w:t>
      </w:r>
      <w:r w:rsidRPr="0043327F">
        <w:rPr>
          <w:rFonts w:cstheme="minorHAnsi"/>
          <w:b/>
          <w:bCs/>
          <w:color w:val="000000"/>
        </w:rPr>
        <w:t>(</w:t>
      </w:r>
      <w:r w:rsidR="00EA193C" w:rsidRPr="0043327F">
        <w:rPr>
          <w:rFonts w:cstheme="minorHAnsi"/>
          <w:b/>
          <w:bCs/>
          <w:color w:val="000000"/>
        </w:rPr>
        <w:t>2</w:t>
      </w:r>
      <w:r w:rsidRPr="0043327F">
        <w:rPr>
          <w:rFonts w:cstheme="minorHAnsi"/>
          <w:b/>
          <w:bCs/>
          <w:color w:val="000000"/>
        </w:rPr>
        <w:t>)</w:t>
      </w:r>
      <w:r w:rsidR="005256FE" w:rsidRPr="0043327F">
        <w:rPr>
          <w:rFonts w:cstheme="minorHAnsi"/>
          <w:b/>
          <w:bCs/>
          <w:color w:val="000000"/>
        </w:rPr>
        <w:t xml:space="preserve"> consumer representative</w:t>
      </w:r>
      <w:r w:rsidR="00EA193C" w:rsidRPr="0043327F">
        <w:rPr>
          <w:rFonts w:cstheme="minorHAnsi"/>
          <w:b/>
          <w:bCs/>
          <w:color w:val="000000"/>
        </w:rPr>
        <w:t>s</w:t>
      </w:r>
      <w:r w:rsidR="005256FE" w:rsidRPr="0043327F">
        <w:rPr>
          <w:rFonts w:cstheme="minorHAnsi"/>
          <w:b/>
          <w:bCs/>
          <w:color w:val="000000"/>
        </w:rPr>
        <w:t xml:space="preserve"> to join the Low Benefit Care</w:t>
      </w:r>
      <w:r w:rsidR="00374C8B" w:rsidRPr="0043327F">
        <w:rPr>
          <w:rFonts w:cstheme="minorHAnsi"/>
          <w:b/>
          <w:bCs/>
          <w:color w:val="000000"/>
        </w:rPr>
        <w:t xml:space="preserve"> </w:t>
      </w:r>
      <w:r w:rsidR="0053733A" w:rsidRPr="0043327F">
        <w:rPr>
          <w:rFonts w:cstheme="minorHAnsi"/>
          <w:b/>
          <w:bCs/>
          <w:color w:val="000000"/>
        </w:rPr>
        <w:t>-</w:t>
      </w:r>
      <w:r w:rsidR="00374C8B" w:rsidRPr="0043327F">
        <w:rPr>
          <w:rFonts w:cstheme="minorHAnsi"/>
          <w:b/>
          <w:bCs/>
          <w:color w:val="000000"/>
        </w:rPr>
        <w:t>surgery project</w:t>
      </w:r>
      <w:r w:rsidR="0053733A" w:rsidRPr="0043327F">
        <w:rPr>
          <w:rFonts w:cstheme="minorHAnsi"/>
          <w:b/>
          <w:bCs/>
          <w:color w:val="000000"/>
        </w:rPr>
        <w:t xml:space="preserve"> w</w:t>
      </w:r>
      <w:r w:rsidR="005256FE" w:rsidRPr="0043327F">
        <w:rPr>
          <w:rFonts w:cstheme="minorHAnsi"/>
          <w:b/>
          <w:bCs/>
          <w:color w:val="000000"/>
        </w:rPr>
        <w:t xml:space="preserve">orking </w:t>
      </w:r>
      <w:r w:rsidR="0053733A" w:rsidRPr="0043327F">
        <w:rPr>
          <w:rFonts w:cstheme="minorHAnsi"/>
          <w:b/>
          <w:bCs/>
          <w:color w:val="000000"/>
        </w:rPr>
        <w:t>g</w:t>
      </w:r>
      <w:r w:rsidR="005256FE" w:rsidRPr="0043327F">
        <w:rPr>
          <w:rFonts w:cstheme="minorHAnsi"/>
          <w:b/>
          <w:bCs/>
          <w:color w:val="000000"/>
        </w:rPr>
        <w:t>roup</w:t>
      </w:r>
      <w:r w:rsidR="007B0F73" w:rsidRPr="0043327F">
        <w:rPr>
          <w:rFonts w:cstheme="minorHAnsi"/>
          <w:b/>
          <w:bCs/>
          <w:color w:val="000000"/>
        </w:rPr>
        <w:t>.</w:t>
      </w:r>
    </w:p>
    <w:p w14:paraId="3FDA5039" w14:textId="42F9B4AB" w:rsidR="0083408A" w:rsidRDefault="0083408A" w:rsidP="003640FA">
      <w:pPr>
        <w:spacing w:line="240" w:lineRule="auto"/>
        <w:ind w:right="-755"/>
        <w:rPr>
          <w:rStyle w:val="Hyperlink"/>
          <w:rFonts w:cstheme="minorHAnsi"/>
        </w:rPr>
      </w:pPr>
      <w:r w:rsidRPr="00921DD1">
        <w:rPr>
          <w:rFonts w:cstheme="minorHAnsi"/>
          <w:color w:val="000000"/>
        </w:rPr>
        <w:t>Clinical Excellence Queensland (CEQ) partner</w:t>
      </w:r>
      <w:r>
        <w:rPr>
          <w:rFonts w:cstheme="minorHAnsi"/>
          <w:color w:val="000000"/>
        </w:rPr>
        <w:t>s</w:t>
      </w:r>
      <w:r w:rsidRPr="00921DD1">
        <w:rPr>
          <w:rFonts w:cstheme="minorHAnsi"/>
          <w:color w:val="000000"/>
        </w:rPr>
        <w:t xml:space="preserve"> with Hospital and Health Services (HHSs), clinicians and consumers to drive measurable improvements in patient care through the continual pursuit of excellence</w:t>
      </w:r>
      <w:r>
        <w:rPr>
          <w:rFonts w:cstheme="minorHAnsi"/>
          <w:color w:val="000000"/>
        </w:rPr>
        <w:t xml:space="preserve">.  </w:t>
      </w:r>
      <w:r w:rsidRPr="00921DD1">
        <w:rPr>
          <w:rFonts w:cstheme="minorHAnsi"/>
          <w:color w:val="000000"/>
        </w:rPr>
        <w:t>CEQ does this by identifying, monitoring and promoting improvements in the quality of health services delivered by service providers (both HHSs and private health facilities, globally and within Queensland), and supporting and facilitating the dissemination of best-practice clinical standards and processes that achieve better outcomes for our patients.</w:t>
      </w:r>
      <w:r>
        <w:rPr>
          <w:rFonts w:cstheme="minorHAnsi"/>
          <w:color w:val="000000"/>
        </w:rPr>
        <w:t xml:space="preserve"> </w:t>
      </w:r>
      <w:hyperlink r:id="rId11" w:history="1">
        <w:r w:rsidRPr="00AF5482">
          <w:rPr>
            <w:rStyle w:val="Hyperlink"/>
            <w:rFonts w:cstheme="minorHAnsi"/>
          </w:rPr>
          <w:t>https://clinicalexcellence.qld.gov.au/index.php/</w:t>
        </w:r>
      </w:hyperlink>
    </w:p>
    <w:p w14:paraId="206B0589" w14:textId="40A397D3" w:rsidR="00EA193C" w:rsidRPr="0011708E" w:rsidRDefault="00EA193C" w:rsidP="003640FA">
      <w:pPr>
        <w:spacing w:line="240" w:lineRule="auto"/>
        <w:ind w:right="-755"/>
        <w:rPr>
          <w:rStyle w:val="Hyperlink"/>
          <w:bCs/>
          <w:color w:val="9B1D54"/>
          <w:sz w:val="28"/>
          <w:szCs w:val="28"/>
          <w:u w:val="none"/>
        </w:rPr>
      </w:pPr>
      <w:r>
        <w:rPr>
          <w:rStyle w:val="Hyperlink"/>
          <w:bCs/>
          <w:color w:val="9B1D54"/>
          <w:sz w:val="28"/>
          <w:szCs w:val="28"/>
          <w:u w:val="none"/>
        </w:rPr>
        <w:t>What is low benefit care</w:t>
      </w:r>
    </w:p>
    <w:p w14:paraId="4897FA06" w14:textId="0AD53288" w:rsidR="00EA193C" w:rsidRDefault="00EA193C" w:rsidP="003640FA">
      <w:pPr>
        <w:pStyle w:val="BodyText"/>
        <w:ind w:left="0"/>
        <w:rPr>
          <w:rFonts w:eastAsia="Times New Roman"/>
          <w:lang w:val="en-AU"/>
        </w:rPr>
      </w:pPr>
      <w:r w:rsidRPr="00921DD1">
        <w:rPr>
          <w:lang w:val="en-AU"/>
        </w:rPr>
        <w:t>Th</w:t>
      </w:r>
      <w:r>
        <w:rPr>
          <w:lang w:val="en-AU"/>
        </w:rPr>
        <w:t>e</w:t>
      </w:r>
      <w:r w:rsidRPr="00921DD1">
        <w:t xml:space="preserve"> issue of value in health care, defined as care that </w:t>
      </w:r>
      <w:r w:rsidRPr="00921DD1">
        <w:rPr>
          <w:rFonts w:eastAsia="Times New Roman"/>
        </w:rPr>
        <w:t>provides little or no net benefit (low benefit care)</w:t>
      </w:r>
      <w:r>
        <w:rPr>
          <w:rFonts w:eastAsia="Times New Roman"/>
        </w:rPr>
        <w:t xml:space="preserve"> </w:t>
      </w:r>
      <w:r w:rsidRPr="00921DD1">
        <w:rPr>
          <w:rFonts w:eastAsia="Times New Roman"/>
        </w:rPr>
        <w:t>in specific clinical scenarios,</w:t>
      </w:r>
      <w:r w:rsidRPr="00921DD1">
        <w:t xml:space="preserve"> is a topic of discussions worldwide.</w:t>
      </w:r>
      <w:r w:rsidRPr="00921DD1">
        <w:rPr>
          <w:rFonts w:eastAsia="Times New Roman"/>
          <w:lang w:val="en-AU"/>
        </w:rPr>
        <w:t xml:space="preserve"> Despite growing evidence that some diagnostics and treatments are unnecessary and add no benefit</w:t>
      </w:r>
      <w:r w:rsidRPr="00921DD1">
        <w:t>, l</w:t>
      </w:r>
      <w:r w:rsidRPr="00921DD1">
        <w:rPr>
          <w:rFonts w:eastAsia="Times New Roman"/>
          <w:lang w:val="en-AU"/>
        </w:rPr>
        <w:t>ow benefit care continues to be provided to patients.</w:t>
      </w:r>
    </w:p>
    <w:p w14:paraId="32018088" w14:textId="77777777" w:rsidR="00EA193C" w:rsidRDefault="00EA193C" w:rsidP="003640FA">
      <w:pPr>
        <w:pStyle w:val="BodyText"/>
        <w:ind w:left="0"/>
        <w:rPr>
          <w:lang w:val="en-AU"/>
        </w:rPr>
      </w:pPr>
    </w:p>
    <w:p w14:paraId="2C3F2895" w14:textId="5998B02E" w:rsidR="007C1CBB" w:rsidRDefault="00EA193C" w:rsidP="003640FA">
      <w:pPr>
        <w:spacing w:line="240" w:lineRule="auto"/>
        <w:rPr>
          <w:lang w:val="en-AU"/>
        </w:rPr>
      </w:pPr>
      <w:r w:rsidRPr="007A67B5">
        <w:rPr>
          <w:rStyle w:val="Hyperlink"/>
          <w:bCs/>
          <w:color w:val="9B1D54"/>
          <w:sz w:val="28"/>
          <w:szCs w:val="28"/>
          <w:u w:val="none"/>
        </w:rPr>
        <w:t>P</w:t>
      </w:r>
      <w:r>
        <w:rPr>
          <w:rStyle w:val="Hyperlink"/>
          <w:bCs/>
          <w:color w:val="9B1D54"/>
          <w:sz w:val="28"/>
          <w:szCs w:val="28"/>
          <w:u w:val="none"/>
        </w:rPr>
        <w:t>roblem: Addressing Low Benefit Care - Surgery</w:t>
      </w:r>
    </w:p>
    <w:p w14:paraId="3ED1EFAE" w14:textId="7F16E1CB" w:rsidR="00237AFD" w:rsidRDefault="00921DD1" w:rsidP="003640FA">
      <w:pPr>
        <w:pStyle w:val="BodyText"/>
        <w:ind w:left="0"/>
        <w:rPr>
          <w:lang w:val="en-AU"/>
        </w:rPr>
      </w:pPr>
      <w:r w:rsidRPr="00921DD1">
        <w:rPr>
          <w:lang w:val="en-AU"/>
        </w:rPr>
        <w:t>Clinicians and consumers do not have access to an agreed list of</w:t>
      </w:r>
      <w:r w:rsidR="0083408A">
        <w:rPr>
          <w:lang w:val="en-AU"/>
        </w:rPr>
        <w:t xml:space="preserve"> surgical</w:t>
      </w:r>
      <w:r w:rsidRPr="00921DD1">
        <w:rPr>
          <w:lang w:val="en-AU"/>
        </w:rPr>
        <w:t xml:space="preserve"> indicators that can be consistently measured to ensure the care provided to patients is safe, high quality and offers maximum benefit at minimal risk. </w:t>
      </w:r>
    </w:p>
    <w:p w14:paraId="250E4D12" w14:textId="77777777" w:rsidR="00921DD1" w:rsidRPr="0011708E" w:rsidRDefault="00921DD1" w:rsidP="003640FA">
      <w:pPr>
        <w:spacing w:line="240" w:lineRule="auto"/>
        <w:ind w:right="-755"/>
        <w:rPr>
          <w:b/>
        </w:rPr>
      </w:pPr>
    </w:p>
    <w:p w14:paraId="3AD8D6E3" w14:textId="77777777" w:rsidR="0011708E" w:rsidRPr="0011708E" w:rsidRDefault="007A67B5" w:rsidP="003640FA">
      <w:pPr>
        <w:spacing w:line="240" w:lineRule="auto"/>
        <w:ind w:right="-755"/>
        <w:rPr>
          <w:rStyle w:val="Hyperlink"/>
          <w:bCs/>
          <w:color w:val="9B1D54"/>
          <w:sz w:val="28"/>
          <w:szCs w:val="28"/>
          <w:u w:val="none"/>
        </w:rPr>
      </w:pPr>
      <w:r w:rsidRPr="007A67B5">
        <w:rPr>
          <w:rStyle w:val="Hyperlink"/>
          <w:bCs/>
          <w:color w:val="9B1D54"/>
          <w:sz w:val="28"/>
          <w:szCs w:val="28"/>
          <w:u w:val="none"/>
        </w:rPr>
        <w:t>Purpose</w:t>
      </w:r>
    </w:p>
    <w:p w14:paraId="5F630AF8" w14:textId="02063B2F" w:rsidR="00EA193C" w:rsidRDefault="00860A8E" w:rsidP="003640FA">
      <w:pPr>
        <w:pStyle w:val="BodyText"/>
        <w:ind w:left="0"/>
      </w:pPr>
      <w:r>
        <w:t>To Develop a suite of Queensland specialty-specific, clinician and consumer identified procedures and associated indicators considered to represent low value in terms of risk and benefit to the patient</w:t>
      </w:r>
      <w:r w:rsidR="00EA193C">
        <w:t>.</w:t>
      </w:r>
    </w:p>
    <w:p w14:paraId="58E086DC" w14:textId="2E76EA95" w:rsidR="006A3488" w:rsidRDefault="00860A8E" w:rsidP="003640FA">
      <w:pPr>
        <w:pStyle w:val="BodyText"/>
        <w:numPr>
          <w:ilvl w:val="0"/>
          <w:numId w:val="10"/>
        </w:numPr>
      </w:pPr>
      <w:r>
        <w:t>to facilitate the alignment of evidence and practice with patient safety and clinical objectives (for the patient, clinician and the service)</w:t>
      </w:r>
    </w:p>
    <w:p w14:paraId="518820D2" w14:textId="10D51057" w:rsidR="00860A8E" w:rsidRDefault="00860A8E" w:rsidP="003640FA">
      <w:pPr>
        <w:pStyle w:val="BodyText"/>
        <w:numPr>
          <w:ilvl w:val="0"/>
          <w:numId w:val="10"/>
        </w:numPr>
      </w:pPr>
      <w:r>
        <w:t xml:space="preserve">to ensure the highest benefit surgical care possible is being delivered to Queenslanders. </w:t>
      </w:r>
    </w:p>
    <w:p w14:paraId="44DAE6CC" w14:textId="77777777" w:rsidR="00860A8E" w:rsidRDefault="00860A8E" w:rsidP="003640FA">
      <w:pPr>
        <w:pStyle w:val="BodyText"/>
      </w:pPr>
    </w:p>
    <w:p w14:paraId="6E5FECF5" w14:textId="02141852" w:rsidR="00860A8E" w:rsidRDefault="00860A8E" w:rsidP="003640FA">
      <w:pPr>
        <w:pStyle w:val="BodyText"/>
        <w:ind w:left="0"/>
      </w:pPr>
      <w:r>
        <w:t xml:space="preserve">Clinicians, health services and consumers partnered together to develop the Clinical Prioritisation Criteria (CPC) within outpatient services.  As seen with the development, acceptance and expansion of the CPC, defining the indicators for low benefit surgical procedures will provide a clinical framework to support clinical judgement and provide transparent, evidence-based criteria for decision making. </w:t>
      </w:r>
    </w:p>
    <w:p w14:paraId="57F5AF6B" w14:textId="77777777" w:rsidR="00860A8E" w:rsidRPr="00E22F92" w:rsidRDefault="00860A8E" w:rsidP="003640FA">
      <w:pPr>
        <w:pStyle w:val="BodyText"/>
      </w:pPr>
    </w:p>
    <w:p w14:paraId="71125695" w14:textId="77777777" w:rsidR="00860A8E" w:rsidRPr="00C05DCB" w:rsidRDefault="00860A8E" w:rsidP="00860A8E">
      <w:pPr>
        <w:pStyle w:val="BodyText"/>
        <w:ind w:left="0"/>
      </w:pPr>
      <w:r>
        <w:t xml:space="preserve">This partnership between clinicians, consumers, and health services, supported by the Department of </w:t>
      </w:r>
      <w:r>
        <w:lastRenderedPageBreak/>
        <w:t>Health (via the Healthcare Improvement Unit, Clinical Excellence Queensland) and driven by consultant and consumer leadership, will enable clinicians and patients to make more informed treatment choices, improve the patient and clinician experience and outcomes, and improve the quality, safety, appropriateness and efficiency of care.</w:t>
      </w:r>
    </w:p>
    <w:p w14:paraId="515ACF45" w14:textId="4D148740" w:rsidR="00EA193C" w:rsidRPr="007A67B5" w:rsidRDefault="008966A7" w:rsidP="003640FA">
      <w:pPr>
        <w:spacing w:line="240" w:lineRule="auto"/>
        <w:ind w:right="-755"/>
        <w:rPr>
          <w:rStyle w:val="Hyperlink"/>
          <w:bCs/>
          <w:color w:val="9B1D54"/>
          <w:sz w:val="28"/>
          <w:szCs w:val="28"/>
          <w:u w:val="none"/>
        </w:rPr>
      </w:pPr>
      <w:r>
        <w:rPr>
          <w:rStyle w:val="Hyperlink"/>
          <w:bCs/>
          <w:color w:val="9B1D54"/>
          <w:sz w:val="28"/>
          <w:szCs w:val="28"/>
          <w:u w:val="none"/>
        </w:rPr>
        <w:t>Membership</w:t>
      </w:r>
    </w:p>
    <w:p w14:paraId="12E9D5C3" w14:textId="4D6C3F07" w:rsidR="00043345" w:rsidRPr="003640FA" w:rsidRDefault="00603B9B" w:rsidP="003640FA">
      <w:pPr>
        <w:spacing w:line="240" w:lineRule="auto"/>
        <w:ind w:right="-755"/>
        <w:rPr>
          <w:rStyle w:val="Hyperlink"/>
          <w:bCs/>
          <w:color w:val="auto"/>
          <w:u w:val="none"/>
        </w:rPr>
      </w:pPr>
      <w:r w:rsidRPr="003640FA">
        <w:rPr>
          <w:rStyle w:val="Hyperlink"/>
          <w:bCs/>
          <w:color w:val="auto"/>
          <w:u w:val="none"/>
        </w:rPr>
        <w:t>The</w:t>
      </w:r>
      <w:r w:rsidR="00EA193C" w:rsidRPr="003640FA">
        <w:rPr>
          <w:rStyle w:val="Hyperlink"/>
          <w:bCs/>
          <w:color w:val="auto"/>
          <w:u w:val="none"/>
        </w:rPr>
        <w:t xml:space="preserve"> various</w:t>
      </w:r>
      <w:r w:rsidRPr="003640FA">
        <w:rPr>
          <w:rStyle w:val="Hyperlink"/>
          <w:bCs/>
          <w:color w:val="auto"/>
          <w:u w:val="none"/>
        </w:rPr>
        <w:t xml:space="preserve"> working group</w:t>
      </w:r>
      <w:r w:rsidR="00EA193C" w:rsidRPr="003640FA">
        <w:rPr>
          <w:rStyle w:val="Hyperlink"/>
          <w:bCs/>
          <w:color w:val="auto"/>
          <w:u w:val="none"/>
        </w:rPr>
        <w:t>s</w:t>
      </w:r>
      <w:r w:rsidRPr="003640FA">
        <w:rPr>
          <w:rStyle w:val="Hyperlink"/>
          <w:bCs/>
          <w:color w:val="auto"/>
          <w:u w:val="none"/>
        </w:rPr>
        <w:t xml:space="preserve"> </w:t>
      </w:r>
      <w:r w:rsidR="00EA193C" w:rsidRPr="003640FA">
        <w:rPr>
          <w:rStyle w:val="Hyperlink"/>
          <w:bCs/>
          <w:color w:val="auto"/>
          <w:u w:val="none"/>
        </w:rPr>
        <w:t>will include representative/s from medical specialties, allied health professionals, nurses, general practitioners and consumers</w:t>
      </w:r>
      <w:r w:rsidR="00043345" w:rsidRPr="003640FA">
        <w:rPr>
          <w:rStyle w:val="Hyperlink"/>
          <w:bCs/>
          <w:color w:val="auto"/>
          <w:u w:val="none"/>
        </w:rPr>
        <w:t xml:space="preserve">. </w:t>
      </w:r>
    </w:p>
    <w:p w14:paraId="3166F5C4" w14:textId="7879F23D" w:rsidR="00603B9B" w:rsidRPr="003640FA" w:rsidRDefault="00EA193C" w:rsidP="003640FA">
      <w:pPr>
        <w:spacing w:line="240" w:lineRule="auto"/>
        <w:ind w:right="-755"/>
        <w:rPr>
          <w:rStyle w:val="Hyperlink"/>
          <w:bCs/>
          <w:color w:val="auto"/>
          <w:u w:val="none"/>
        </w:rPr>
      </w:pPr>
      <w:r w:rsidRPr="003640FA">
        <w:rPr>
          <w:rStyle w:val="Hyperlink"/>
          <w:bCs/>
          <w:color w:val="auto"/>
          <w:u w:val="none"/>
        </w:rPr>
        <w:t>There will be a clinical chair for each of the working groups representing their specialty.</w:t>
      </w:r>
    </w:p>
    <w:p w14:paraId="55A3B514" w14:textId="1CD4EE69" w:rsidR="007A67B5" w:rsidRPr="007A67B5" w:rsidRDefault="007A67B5" w:rsidP="003640FA">
      <w:pPr>
        <w:spacing w:line="240" w:lineRule="auto"/>
        <w:ind w:right="-755"/>
        <w:rPr>
          <w:rStyle w:val="Hyperlink"/>
          <w:bCs/>
          <w:color w:val="9B1D54"/>
          <w:sz w:val="28"/>
          <w:szCs w:val="28"/>
          <w:u w:val="none"/>
        </w:rPr>
      </w:pPr>
      <w:r w:rsidRPr="007A67B5">
        <w:rPr>
          <w:rStyle w:val="Hyperlink"/>
          <w:bCs/>
          <w:color w:val="9B1D54"/>
          <w:sz w:val="28"/>
          <w:szCs w:val="28"/>
          <w:u w:val="none"/>
        </w:rPr>
        <w:t>Role of the consumer</w:t>
      </w:r>
    </w:p>
    <w:p w14:paraId="72C2067B" w14:textId="4BB4DEB4" w:rsidR="007A67B5" w:rsidRPr="00493227" w:rsidRDefault="007A67B5" w:rsidP="003640FA">
      <w:pPr>
        <w:spacing w:line="240" w:lineRule="auto"/>
        <w:ind w:right="-755"/>
        <w:rPr>
          <w:rStyle w:val="Hyperlink"/>
          <w:color w:val="auto"/>
          <w:u w:val="none"/>
        </w:rPr>
      </w:pPr>
      <w:r w:rsidRPr="00C65182">
        <w:t xml:space="preserve">The role of the successful applicant </w:t>
      </w:r>
      <w:r>
        <w:t xml:space="preserve">will be to attend </w:t>
      </w:r>
      <w:r w:rsidR="00860A8E">
        <w:t xml:space="preserve">working group </w:t>
      </w:r>
      <w:r>
        <w:t>meetings and to a</w:t>
      </w:r>
      <w:r w:rsidRPr="00C65182">
        <w:t xml:space="preserve">ctively participate in all </w:t>
      </w:r>
      <w:r w:rsidR="00860A8E">
        <w:t>working group</w:t>
      </w:r>
      <w:r w:rsidRPr="00C65182">
        <w:t xml:space="preserve"> activities such as </w:t>
      </w:r>
      <w:r>
        <w:t xml:space="preserve">pre-meeting reading, discussions, provision of feedback and advice. </w:t>
      </w:r>
    </w:p>
    <w:p w14:paraId="187F9A6B" w14:textId="77777777" w:rsidR="007A67B5" w:rsidRPr="007A67B5" w:rsidRDefault="007A67B5" w:rsidP="003640FA">
      <w:pPr>
        <w:spacing w:line="240" w:lineRule="auto"/>
        <w:ind w:right="-755"/>
        <w:rPr>
          <w:rStyle w:val="Hyperlink"/>
          <w:bCs/>
          <w:color w:val="9B1D54"/>
          <w:sz w:val="28"/>
          <w:szCs w:val="28"/>
          <w:u w:val="none"/>
        </w:rPr>
      </w:pPr>
      <w:r w:rsidRPr="007A67B5">
        <w:rPr>
          <w:rStyle w:val="Hyperlink"/>
          <w:bCs/>
          <w:color w:val="9B1D54"/>
          <w:sz w:val="28"/>
          <w:szCs w:val="28"/>
          <w:u w:val="none"/>
        </w:rPr>
        <w:t>Who is it for?</w:t>
      </w:r>
    </w:p>
    <w:p w14:paraId="1B7E0E26" w14:textId="77777777" w:rsidR="00B67CE5" w:rsidRDefault="005A08BE" w:rsidP="003640FA">
      <w:pPr>
        <w:spacing w:line="240" w:lineRule="auto"/>
        <w:ind w:right="-755"/>
      </w:pPr>
      <w:r>
        <w:t xml:space="preserve">This opportunity would suit a consumer or </w:t>
      </w:r>
      <w:proofErr w:type="spellStart"/>
      <w:r>
        <w:t>carer</w:t>
      </w:r>
      <w:proofErr w:type="spellEnd"/>
      <w:r>
        <w:t xml:space="preserve"> representative with</w:t>
      </w:r>
      <w:r w:rsidR="00B67CE5">
        <w:t>:</w:t>
      </w:r>
    </w:p>
    <w:p w14:paraId="35C44FBD" w14:textId="6DE93EE6" w:rsidR="00180E61" w:rsidRPr="003640FA" w:rsidRDefault="00180E61" w:rsidP="003640FA">
      <w:pPr>
        <w:pStyle w:val="ListParagraph"/>
        <w:numPr>
          <w:ilvl w:val="0"/>
          <w:numId w:val="9"/>
        </w:numPr>
        <w:ind w:right="-755"/>
        <w:rPr>
          <w:rStyle w:val="Hyperlink"/>
          <w:bCs/>
          <w:color w:val="auto"/>
          <w:u w:val="none"/>
        </w:rPr>
      </w:pPr>
      <w:r w:rsidRPr="003640FA">
        <w:rPr>
          <w:rStyle w:val="Hyperlink"/>
          <w:bCs/>
          <w:color w:val="auto"/>
          <w:u w:val="none"/>
        </w:rPr>
        <w:t>12 months committee experience, either at the Hospital and Health Service, or statewide level, especially contributing to systems level reforms and improvement</w:t>
      </w:r>
    </w:p>
    <w:p w14:paraId="4733DAB4" w14:textId="77777777" w:rsidR="00180E61" w:rsidRPr="003640FA" w:rsidRDefault="00180E61" w:rsidP="003640FA">
      <w:pPr>
        <w:pStyle w:val="ListParagraph"/>
        <w:numPr>
          <w:ilvl w:val="0"/>
          <w:numId w:val="9"/>
        </w:numPr>
        <w:ind w:right="-755"/>
        <w:rPr>
          <w:rStyle w:val="Hyperlink"/>
          <w:bCs/>
          <w:color w:val="auto"/>
          <w:u w:val="none"/>
        </w:rPr>
      </w:pPr>
      <w:r w:rsidRPr="003640FA">
        <w:rPr>
          <w:rStyle w:val="Hyperlink"/>
          <w:bCs/>
          <w:color w:val="auto"/>
          <w:u w:val="none"/>
        </w:rPr>
        <w:t>an understanding of the Queensland Health system, responsibilities of sitting on a committee and experiencing providing consumer feedback</w:t>
      </w:r>
    </w:p>
    <w:p w14:paraId="36975A80" w14:textId="77777777" w:rsidR="00B67CE5" w:rsidRPr="00180E61" w:rsidRDefault="00B67CE5" w:rsidP="003640FA">
      <w:pPr>
        <w:pStyle w:val="ListParagraph"/>
        <w:ind w:left="767" w:right="-755"/>
        <w:rPr>
          <w:rStyle w:val="Hyperlink"/>
          <w:bCs/>
          <w:color w:val="9B1D54"/>
          <w:sz w:val="28"/>
          <w:szCs w:val="28"/>
          <w:u w:val="none"/>
        </w:rPr>
      </w:pPr>
    </w:p>
    <w:p w14:paraId="7A6555FD" w14:textId="20C4BD1A" w:rsidR="007A67B5" w:rsidRPr="007A67B5" w:rsidRDefault="007A67B5" w:rsidP="003640FA">
      <w:pPr>
        <w:spacing w:line="240" w:lineRule="auto"/>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1CA0C9C4" w14:textId="2B281518" w:rsidR="005D726A" w:rsidRPr="000A3278" w:rsidRDefault="000A3278" w:rsidP="003640FA">
      <w:pPr>
        <w:autoSpaceDE w:val="0"/>
        <w:autoSpaceDN w:val="0"/>
        <w:adjustRightInd w:val="0"/>
        <w:spacing w:after="120" w:line="240" w:lineRule="auto"/>
        <w:rPr>
          <w:bCs/>
        </w:rPr>
      </w:pPr>
      <w:r>
        <w:rPr>
          <w:bCs/>
        </w:rPr>
        <w:t>It is anticipated we would require 2 hours once per fortnight to allow for meetings and pre reading, if required ad-hoc meetings may be scheduled.</w:t>
      </w:r>
    </w:p>
    <w:p w14:paraId="5F692B9C" w14:textId="2C76C1CB" w:rsidR="005D726A" w:rsidRDefault="00860A8E" w:rsidP="003640FA">
      <w:pPr>
        <w:autoSpaceDE w:val="0"/>
        <w:autoSpaceDN w:val="0"/>
        <w:adjustRightInd w:val="0"/>
        <w:spacing w:after="120" w:line="240" w:lineRule="auto"/>
      </w:pPr>
      <w:r>
        <w:t xml:space="preserve">Meetings will have the option of joining by </w:t>
      </w:r>
      <w:r w:rsidR="00874EDB">
        <w:t xml:space="preserve">video conference - </w:t>
      </w:r>
      <w:r>
        <w:t>Microsoft Teams, should they be required t</w:t>
      </w:r>
      <w:r w:rsidR="005D726A">
        <w:t xml:space="preserve">ravel and parking </w:t>
      </w:r>
      <w:r>
        <w:t>can be arranged</w:t>
      </w:r>
      <w:r w:rsidR="005D726A">
        <w:t>.</w:t>
      </w:r>
    </w:p>
    <w:p w14:paraId="7BCFA167" w14:textId="77777777" w:rsidR="007A67B5" w:rsidRPr="00996C71" w:rsidRDefault="007A67B5" w:rsidP="003640FA">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5F95EDF2" w14:textId="31875605" w:rsidR="005D726A" w:rsidRDefault="00860A8E" w:rsidP="003640FA">
      <w:pPr>
        <w:spacing w:line="240" w:lineRule="auto"/>
      </w:pPr>
      <w:r>
        <w:t>Co</w:t>
      </w:r>
      <w:r w:rsidR="007A67B5" w:rsidRPr="00DE276A">
        <w:t xml:space="preserve">nsumers will be remunerated for their time in line with </w:t>
      </w:r>
      <w:hyperlink r:id="rId12" w:history="1">
        <w:r w:rsidR="007A67B5" w:rsidRPr="00671551">
          <w:rPr>
            <w:rStyle w:val="Hyperlink"/>
          </w:rPr>
          <w:t>Health Consumers Queensland’s remuneration position statement</w:t>
        </w:r>
      </w:hyperlink>
      <w:r w:rsidR="007A67B5" w:rsidRPr="00DE276A">
        <w:t>.</w:t>
      </w:r>
      <w:r>
        <w:t xml:space="preserve"> Should</w:t>
      </w:r>
      <w:r w:rsidR="007A67B5" w:rsidRPr="00DE276A">
        <w:t xml:space="preserve"> </w:t>
      </w:r>
      <w:r>
        <w:t>p</w:t>
      </w:r>
      <w:r w:rsidR="007A67B5">
        <w:t>arking and travel</w:t>
      </w:r>
      <w:r>
        <w:t xml:space="preserve"> be required</w:t>
      </w:r>
      <w:r w:rsidR="007A67B5">
        <w:t xml:space="preserve"> expenses will be covered. </w:t>
      </w:r>
    </w:p>
    <w:p w14:paraId="2FFBC0F4" w14:textId="3506232F" w:rsidR="00222911" w:rsidRDefault="00222911" w:rsidP="003640FA">
      <w:pPr>
        <w:spacing w:line="240" w:lineRule="auto"/>
      </w:pPr>
      <w:r w:rsidRPr="00222911">
        <w:t xml:space="preserve">$187 per meeting 4 hours and under </w:t>
      </w:r>
      <w:r w:rsidR="0056059A">
        <w:t>(</w:t>
      </w:r>
      <w:r w:rsidR="0056059A" w:rsidRPr="0056059A">
        <w:t>Covers pre-reading</w:t>
      </w:r>
      <w:r w:rsidR="0056059A">
        <w:t>)</w:t>
      </w:r>
      <w:r w:rsidR="005C7E18">
        <w:t xml:space="preserve">. </w:t>
      </w:r>
      <w:r w:rsidR="0056059A">
        <w:t xml:space="preserve"> </w:t>
      </w:r>
    </w:p>
    <w:p w14:paraId="47809851" w14:textId="0C6DF237" w:rsidR="005C7E18" w:rsidRPr="00DE276A" w:rsidRDefault="00FB419F" w:rsidP="003640FA">
      <w:pPr>
        <w:spacing w:line="240" w:lineRule="auto"/>
      </w:pPr>
      <w:r w:rsidRPr="00FB419F">
        <w:t xml:space="preserve">The </w:t>
      </w:r>
      <w:r w:rsidR="0043327F">
        <w:t>Chair</w:t>
      </w:r>
      <w:r w:rsidRPr="00FB419F">
        <w:t xml:space="preserve"> will provide orientation and ongoing support </w:t>
      </w:r>
      <w:r w:rsidR="00553787">
        <w:t>to</w:t>
      </w:r>
      <w:r w:rsidRPr="00FB419F">
        <w:t xml:space="preserve"> the successful representative as required.</w:t>
      </w:r>
    </w:p>
    <w:p w14:paraId="15D6351C" w14:textId="77777777" w:rsidR="007A67B5" w:rsidRPr="00996C71" w:rsidRDefault="007A67B5" w:rsidP="003640FA">
      <w:pPr>
        <w:spacing w:line="240" w:lineRule="auto"/>
        <w:ind w:right="-755"/>
        <w:rPr>
          <w:rStyle w:val="Hyperlink"/>
          <w:bCs/>
          <w:color w:val="9B1D54"/>
          <w:sz w:val="28"/>
          <w:szCs w:val="28"/>
          <w:u w:val="none"/>
        </w:rPr>
      </w:pPr>
      <w:r w:rsidRPr="00996C71">
        <w:rPr>
          <w:rStyle w:val="Hyperlink"/>
          <w:bCs/>
          <w:color w:val="9B1D54"/>
          <w:sz w:val="28"/>
          <w:szCs w:val="28"/>
          <w:u w:val="none"/>
        </w:rPr>
        <w:t>How to apply</w:t>
      </w:r>
    </w:p>
    <w:p w14:paraId="55C01EA1" w14:textId="62257CBD" w:rsidR="007A67B5" w:rsidRPr="002933DA" w:rsidRDefault="007A67B5" w:rsidP="007A67B5">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3" w:history="1">
        <w:r w:rsidRPr="00F274C6">
          <w:rPr>
            <w:rStyle w:val="Hyperlink"/>
            <w:b/>
          </w:rPr>
          <w:t>consumer@hcq.org.au</w:t>
        </w:r>
      </w:hyperlink>
      <w:r>
        <w:rPr>
          <w:rStyle w:val="Hyperlink"/>
          <w:b/>
        </w:rPr>
        <w:t xml:space="preserve"> </w:t>
      </w:r>
      <w:r w:rsidRPr="00996C71">
        <w:rPr>
          <w:rStyle w:val="Hyperlink"/>
          <w:color w:val="auto"/>
          <w:u w:val="none"/>
        </w:rPr>
        <w:t xml:space="preserve">by </w:t>
      </w:r>
      <w:r w:rsidRPr="00996C71">
        <w:rPr>
          <w:rStyle w:val="Hyperlink"/>
          <w:b/>
          <w:color w:val="auto"/>
        </w:rPr>
        <w:t xml:space="preserve"> </w:t>
      </w:r>
      <w:r w:rsidR="00553787" w:rsidRPr="00553787">
        <w:rPr>
          <w:rStyle w:val="Hyperlink"/>
          <w:b/>
          <w:color w:val="auto"/>
        </w:rPr>
        <w:t>9am, Thursday 12 November</w:t>
      </w:r>
    </w:p>
    <w:p w14:paraId="5ABA0EBF" w14:textId="70F1D948" w:rsidR="00874EDB" w:rsidRDefault="007A67B5" w:rsidP="007A67B5">
      <w:r w:rsidRPr="00F274C6">
        <w:t xml:space="preserve">For assistance please contact Health Consumers Queensland via </w:t>
      </w:r>
      <w:hyperlink r:id="rId14" w:history="1">
        <w:r w:rsidRPr="00F274C6">
          <w:rPr>
            <w:rStyle w:val="Hyperlink"/>
          </w:rPr>
          <w:t>consumer@hcq.org.au</w:t>
        </w:r>
      </w:hyperlink>
      <w:r w:rsidRPr="00F274C6">
        <w:t xml:space="preserve"> or by phone on 07 3012 9090.</w:t>
      </w:r>
    </w:p>
    <w:p w14:paraId="02A730EA" w14:textId="77777777" w:rsidR="007A67B5" w:rsidRDefault="007A67B5" w:rsidP="007A67B5">
      <w:pPr>
        <w:jc w:val="center"/>
        <w:rPr>
          <w:b/>
          <w:sz w:val="32"/>
          <w:szCs w:val="24"/>
        </w:rPr>
      </w:pPr>
      <w:r>
        <w:rPr>
          <w:b/>
          <w:sz w:val="32"/>
          <w:szCs w:val="24"/>
        </w:rPr>
        <w:lastRenderedPageBreak/>
        <w:t>Consumer Application Form</w:t>
      </w:r>
    </w:p>
    <w:p w14:paraId="630C2725" w14:textId="532F5785" w:rsidR="00947678" w:rsidRPr="00996C71" w:rsidRDefault="00553787" w:rsidP="005D726A">
      <w:pPr>
        <w:jc w:val="center"/>
        <w:rPr>
          <w:b/>
          <w:sz w:val="32"/>
          <w:szCs w:val="24"/>
        </w:rPr>
      </w:pPr>
      <w:r w:rsidRPr="00553787">
        <w:t xml:space="preserve"> </w:t>
      </w:r>
      <w:r w:rsidRPr="00553787">
        <w:rPr>
          <w:b/>
          <w:sz w:val="32"/>
          <w:szCs w:val="24"/>
        </w:rPr>
        <w:t>Addressing Low Benefit Care – Surgery Project</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5"/>
          <w:footerReference w:type="default" r:id="rId16"/>
          <w:pgSz w:w="12240" w:h="15840"/>
          <w:pgMar w:top="1440" w:right="1440" w:bottom="1440" w:left="1440" w:header="11" w:footer="720" w:gutter="0"/>
          <w:cols w:space="720"/>
          <w:docGrid w:linePitch="360"/>
        </w:sectPr>
      </w:pPr>
    </w:p>
    <w:p w14:paraId="364DC1EC"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72AC915F"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151E09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D21330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proofErr w:type="gramStart"/>
      <w:r w:rsidRPr="00567FA9">
        <w:rPr>
          <w:rFonts w:asciiTheme="minorHAnsi" w:hAnsiTheme="minorHAnsi" w:cstheme="minorHAnsi"/>
          <w:b w:val="0"/>
          <w:color w:val="auto"/>
          <w:sz w:val="22"/>
        </w:rPr>
        <w:t>Carer</w:t>
      </w:r>
      <w:proofErr w:type="gramEnd"/>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1346973" w14:textId="77777777" w:rsidTr="00475D15">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lastRenderedPageBreak/>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576D03C8" w14:textId="77777777" w:rsidR="007B1118" w:rsidRDefault="007B1118" w:rsidP="009D66F5">
      <w:pPr>
        <w:pStyle w:val="StaffH1"/>
        <w:rPr>
          <w:rFonts w:asciiTheme="minorHAnsi" w:hAnsiTheme="minorHAnsi" w:cstheme="minorHAnsi"/>
          <w:b w:val="0"/>
          <w:i/>
          <w:color w:val="auto"/>
          <w:sz w:val="22"/>
        </w:rPr>
      </w:pP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D9D02D4"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4B82417A"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20A3509E"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203C7572" w14:textId="77777777" w:rsidR="00553171"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77777777" w:rsidR="008012D5" w:rsidRPr="00480614" w:rsidRDefault="00AF4875" w:rsidP="00480614">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Pr="00567FA9" w:rsidRDefault="00553171" w:rsidP="00553171">
      <w:pPr>
        <w:pStyle w:val="StaffH1"/>
        <w:rPr>
          <w:rFonts w:asciiTheme="minorHAnsi" w:hAnsiTheme="minorHAnsi" w:cstheme="minorHAnsi"/>
          <w:b w:val="0"/>
          <w:i/>
          <w:color w:val="auto"/>
          <w:sz w:val="22"/>
        </w:rPr>
      </w:pPr>
    </w:p>
    <w:p w14:paraId="4C992117" w14:textId="77777777" w:rsidR="008012D5" w:rsidRPr="00567FA9" w:rsidRDefault="008012D5" w:rsidP="00553171">
      <w:pPr>
        <w:pStyle w:val="StaffH1"/>
        <w:rPr>
          <w:rFonts w:asciiTheme="minorHAnsi" w:hAnsiTheme="minorHAnsi" w:cstheme="minorHAnsi"/>
          <w:b w:val="0"/>
          <w:i/>
          <w:color w:val="auto"/>
          <w:sz w:val="22"/>
        </w:rPr>
      </w:pPr>
    </w:p>
    <w:p w14:paraId="29974CDE" w14:textId="77777777" w:rsidR="00FD57CA" w:rsidRPr="00567FA9" w:rsidRDefault="00FD57CA" w:rsidP="00553171">
      <w:pPr>
        <w:pStyle w:val="StaffH1"/>
        <w:rPr>
          <w:rFonts w:asciiTheme="minorHAnsi" w:hAnsiTheme="minorHAnsi" w:cstheme="minorHAnsi"/>
          <w:b w:val="0"/>
          <w:i/>
          <w:color w:val="auto"/>
          <w:sz w:val="22"/>
        </w:rPr>
      </w:pPr>
    </w:p>
    <w:p w14:paraId="2C6CAE80" w14:textId="77777777" w:rsidR="00C532E7" w:rsidRPr="00567FA9" w:rsidRDefault="00C532E7" w:rsidP="00553171">
      <w:pPr>
        <w:pStyle w:val="StaffH1"/>
        <w:rPr>
          <w:rFonts w:asciiTheme="minorHAnsi" w:hAnsiTheme="minorHAnsi" w:cstheme="minorHAnsi"/>
          <w:b w:val="0"/>
          <w:i/>
          <w:color w:val="auto"/>
          <w:sz w:val="22"/>
        </w:rPr>
      </w:pPr>
    </w:p>
    <w:p w14:paraId="606F33C6" w14:textId="77777777" w:rsidR="00FD57CA" w:rsidRPr="00567FA9" w:rsidRDefault="00FD57CA" w:rsidP="00553171">
      <w:pPr>
        <w:pStyle w:val="StaffH1"/>
        <w:rPr>
          <w:rFonts w:asciiTheme="minorHAnsi" w:hAnsiTheme="minorHAnsi" w:cstheme="minorHAnsi"/>
          <w:b w:val="0"/>
          <w:i/>
          <w:color w:val="auto"/>
          <w:sz w:val="22"/>
        </w:rPr>
      </w:pPr>
    </w:p>
    <w:p w14:paraId="25221384" w14:textId="1A103DFC" w:rsidR="008012D5" w:rsidRPr="00480614" w:rsidRDefault="00E82D04" w:rsidP="0048061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Please describe your interest in</w:t>
      </w:r>
      <w:r w:rsidR="0043327F">
        <w:t xml:space="preserve"> </w:t>
      </w:r>
      <w:r w:rsidR="00553787" w:rsidRPr="00553787">
        <w:rPr>
          <w:rFonts w:asciiTheme="minorHAnsi" w:hAnsiTheme="minorHAnsi" w:cstheme="minorHAnsi"/>
          <w:color w:val="auto"/>
          <w:sz w:val="22"/>
        </w:rPr>
        <w:t xml:space="preserve">Low Benefit </w:t>
      </w:r>
      <w:proofErr w:type="gramStart"/>
      <w:r w:rsidR="00553787" w:rsidRPr="00553787">
        <w:rPr>
          <w:rFonts w:asciiTheme="minorHAnsi" w:hAnsiTheme="minorHAnsi" w:cstheme="minorHAnsi"/>
          <w:color w:val="auto"/>
          <w:sz w:val="22"/>
        </w:rPr>
        <w:t>Care</w:t>
      </w:r>
      <w:r w:rsidR="00480614">
        <w:rPr>
          <w:rFonts w:asciiTheme="minorHAnsi" w:hAnsiTheme="minorHAnsi" w:cstheme="minorHAnsi"/>
          <w:color w:val="auto"/>
          <w:sz w:val="22"/>
        </w:rPr>
        <w:t>?</w:t>
      </w:r>
      <w:proofErr w:type="gramEnd"/>
      <w:r w:rsidR="00480614">
        <w:rPr>
          <w:rFonts w:asciiTheme="minorHAnsi" w:hAnsiTheme="minorHAnsi" w:cstheme="minorHAnsi"/>
          <w:color w:val="auto"/>
          <w:sz w:val="22"/>
        </w:rPr>
        <w:t xml:space="preserve"> </w:t>
      </w:r>
      <w:r w:rsidR="008012D5" w:rsidRPr="00480614">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2753679A"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45BA3EB6"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150495B3"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Any systems change that you have identified that will improve care for health consumers, and possible strategies you could share to affect that change.  </w:t>
      </w:r>
    </w:p>
    <w:p w14:paraId="6BEFB5BD"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661BF8F6"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5A2AE562" w14:textId="6CE46916" w:rsidR="00FD0A44" w:rsidRPr="00B83F53" w:rsidRDefault="002D04F0" w:rsidP="00FD0A44">
      <w:pPr>
        <w:pStyle w:val="StaffH1"/>
        <w:rPr>
          <w:rFonts w:asciiTheme="minorHAnsi" w:hAnsiTheme="minorHAnsi" w:cstheme="minorHAnsi"/>
          <w:bCs/>
          <w:i/>
          <w:color w:val="auto"/>
          <w:sz w:val="22"/>
        </w:rPr>
      </w:pPr>
      <w:r w:rsidRPr="00B83F53">
        <w:rPr>
          <w:rFonts w:asciiTheme="minorHAnsi" w:hAnsiTheme="minorHAnsi" w:cstheme="minorHAnsi"/>
          <w:bCs/>
          <w:i/>
          <w:color w:val="auto"/>
          <w:sz w:val="22"/>
        </w:rPr>
        <w:t xml:space="preserve">Referee Section </w:t>
      </w:r>
    </w:p>
    <w:p w14:paraId="3AAECFA5"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5F60CE1F" w14:textId="77777777" w:rsidR="00B01FEF" w:rsidRDefault="00B01FEF" w:rsidP="00FD0A44">
      <w:pPr>
        <w:pStyle w:val="StaffH1"/>
        <w:rPr>
          <w:rFonts w:asciiTheme="minorHAnsi" w:hAnsiTheme="minorHAnsi" w:cstheme="minorHAnsi"/>
          <w:b w:val="0"/>
          <w:color w:val="auto"/>
          <w:sz w:val="22"/>
        </w:rPr>
      </w:pPr>
    </w:p>
    <w:p w14:paraId="1FD06BA8"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19BED13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486C116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xml:space="preserve"> Committee Chair):</w:t>
      </w:r>
    </w:p>
    <w:p w14:paraId="74E3822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570478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61A280E9"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32386647"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05858" w14:textId="77777777" w:rsidR="00427DB2" w:rsidRDefault="00427DB2" w:rsidP="007B1118">
      <w:pPr>
        <w:spacing w:after="0" w:line="240" w:lineRule="auto"/>
      </w:pPr>
      <w:r>
        <w:separator/>
      </w:r>
    </w:p>
  </w:endnote>
  <w:endnote w:type="continuationSeparator" w:id="0">
    <w:p w14:paraId="001EF083" w14:textId="77777777" w:rsidR="00427DB2" w:rsidRDefault="00427DB2"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8B1A" w14:textId="77777777" w:rsidR="00427DB2" w:rsidRDefault="00427DB2" w:rsidP="007B1118">
      <w:pPr>
        <w:spacing w:after="0" w:line="240" w:lineRule="auto"/>
      </w:pPr>
      <w:r>
        <w:separator/>
      </w:r>
    </w:p>
  </w:footnote>
  <w:footnote w:type="continuationSeparator" w:id="0">
    <w:p w14:paraId="472CE1BA" w14:textId="77777777" w:rsidR="00427DB2" w:rsidRDefault="00427DB2"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25121"/>
    <w:multiLevelType w:val="hybridMultilevel"/>
    <w:tmpl w:val="42B8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4"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050AEE"/>
    <w:multiLevelType w:val="hybridMultilevel"/>
    <w:tmpl w:val="1EB2159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9"/>
  </w:num>
  <w:num w:numId="6">
    <w:abstractNumId w:val="5"/>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43345"/>
    <w:rsid w:val="000504A0"/>
    <w:rsid w:val="00067FDB"/>
    <w:rsid w:val="000A1C45"/>
    <w:rsid w:val="000A3278"/>
    <w:rsid w:val="000A5F81"/>
    <w:rsid w:val="000A6D5A"/>
    <w:rsid w:val="0011708E"/>
    <w:rsid w:val="00180E61"/>
    <w:rsid w:val="001A491C"/>
    <w:rsid w:val="00222911"/>
    <w:rsid w:val="00237AFD"/>
    <w:rsid w:val="002425EC"/>
    <w:rsid w:val="00290CEA"/>
    <w:rsid w:val="002D04F0"/>
    <w:rsid w:val="00314282"/>
    <w:rsid w:val="00341D41"/>
    <w:rsid w:val="00357F4D"/>
    <w:rsid w:val="003640FA"/>
    <w:rsid w:val="00374C8B"/>
    <w:rsid w:val="0038481B"/>
    <w:rsid w:val="003F4436"/>
    <w:rsid w:val="00427DB2"/>
    <w:rsid w:val="0043327F"/>
    <w:rsid w:val="00441807"/>
    <w:rsid w:val="00470534"/>
    <w:rsid w:val="00475D15"/>
    <w:rsid w:val="00480614"/>
    <w:rsid w:val="00493227"/>
    <w:rsid w:val="004F2068"/>
    <w:rsid w:val="00503190"/>
    <w:rsid w:val="005256FE"/>
    <w:rsid w:val="00525CBB"/>
    <w:rsid w:val="0053733A"/>
    <w:rsid w:val="00537C4D"/>
    <w:rsid w:val="00553171"/>
    <w:rsid w:val="00553787"/>
    <w:rsid w:val="0056059A"/>
    <w:rsid w:val="00567FA9"/>
    <w:rsid w:val="005A08BE"/>
    <w:rsid w:val="005B42FD"/>
    <w:rsid w:val="005C728F"/>
    <w:rsid w:val="005C7E18"/>
    <w:rsid w:val="005D726A"/>
    <w:rsid w:val="00603B9B"/>
    <w:rsid w:val="006A3488"/>
    <w:rsid w:val="00715183"/>
    <w:rsid w:val="0075352C"/>
    <w:rsid w:val="00775D7A"/>
    <w:rsid w:val="007A67B5"/>
    <w:rsid w:val="007B0F73"/>
    <w:rsid w:val="007B1118"/>
    <w:rsid w:val="007B7AC0"/>
    <w:rsid w:val="007C1CBB"/>
    <w:rsid w:val="007E2D3C"/>
    <w:rsid w:val="008012D5"/>
    <w:rsid w:val="0083408A"/>
    <w:rsid w:val="00860A8E"/>
    <w:rsid w:val="00874EDB"/>
    <w:rsid w:val="00887DFD"/>
    <w:rsid w:val="008966A7"/>
    <w:rsid w:val="008A7949"/>
    <w:rsid w:val="008B4B58"/>
    <w:rsid w:val="008C3230"/>
    <w:rsid w:val="00921DD1"/>
    <w:rsid w:val="00947678"/>
    <w:rsid w:val="00953EBE"/>
    <w:rsid w:val="00996C71"/>
    <w:rsid w:val="009D66F5"/>
    <w:rsid w:val="00A00A90"/>
    <w:rsid w:val="00A81131"/>
    <w:rsid w:val="00A83487"/>
    <w:rsid w:val="00AA0AD3"/>
    <w:rsid w:val="00AD5F28"/>
    <w:rsid w:val="00AD7DF8"/>
    <w:rsid w:val="00AF4875"/>
    <w:rsid w:val="00B01FEF"/>
    <w:rsid w:val="00B67CE5"/>
    <w:rsid w:val="00B75112"/>
    <w:rsid w:val="00B82D73"/>
    <w:rsid w:val="00B83F53"/>
    <w:rsid w:val="00B85A22"/>
    <w:rsid w:val="00BC4847"/>
    <w:rsid w:val="00BE64FB"/>
    <w:rsid w:val="00BF2BD8"/>
    <w:rsid w:val="00C3251A"/>
    <w:rsid w:val="00C532E7"/>
    <w:rsid w:val="00C95682"/>
    <w:rsid w:val="00CF307C"/>
    <w:rsid w:val="00D7586C"/>
    <w:rsid w:val="00DA04A6"/>
    <w:rsid w:val="00DB3A31"/>
    <w:rsid w:val="00DF0E8C"/>
    <w:rsid w:val="00E04855"/>
    <w:rsid w:val="00E366D3"/>
    <w:rsid w:val="00E82D04"/>
    <w:rsid w:val="00EA193C"/>
    <w:rsid w:val="00F31488"/>
    <w:rsid w:val="00F33C39"/>
    <w:rsid w:val="00F56AC5"/>
    <w:rsid w:val="00FB419F"/>
    <w:rsid w:val="00FD0A44"/>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character" w:styleId="UnresolvedMention">
    <w:name w:val="Unresolved Mention"/>
    <w:basedOn w:val="DefaultParagraphFont"/>
    <w:uiPriority w:val="99"/>
    <w:semiHidden/>
    <w:unhideWhenUsed/>
    <w:rsid w:val="00921DD1"/>
    <w:rPr>
      <w:color w:val="605E5C"/>
      <w:shd w:val="clear" w:color="auto" w:fill="E1DFDD"/>
    </w:rPr>
  </w:style>
  <w:style w:type="paragraph" w:styleId="BalloonText">
    <w:name w:val="Balloon Text"/>
    <w:basedOn w:val="Normal"/>
    <w:link w:val="BalloonTextChar"/>
    <w:uiPriority w:val="99"/>
    <w:semiHidden/>
    <w:unhideWhenUsed/>
    <w:rsid w:val="00B67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E5"/>
    <w:rPr>
      <w:rFonts w:ascii="Segoe UI" w:hAnsi="Segoe UI" w:cs="Segoe UI"/>
      <w:sz w:val="18"/>
      <w:szCs w:val="18"/>
    </w:rPr>
  </w:style>
  <w:style w:type="character" w:styleId="CommentReference">
    <w:name w:val="annotation reference"/>
    <w:basedOn w:val="DefaultParagraphFont"/>
    <w:uiPriority w:val="99"/>
    <w:semiHidden/>
    <w:unhideWhenUsed/>
    <w:rsid w:val="00503190"/>
    <w:rPr>
      <w:sz w:val="16"/>
      <w:szCs w:val="16"/>
    </w:rPr>
  </w:style>
  <w:style w:type="paragraph" w:styleId="CommentText">
    <w:name w:val="annotation text"/>
    <w:basedOn w:val="Normal"/>
    <w:link w:val="CommentTextChar"/>
    <w:uiPriority w:val="99"/>
    <w:semiHidden/>
    <w:unhideWhenUsed/>
    <w:rsid w:val="00503190"/>
    <w:pPr>
      <w:spacing w:line="240" w:lineRule="auto"/>
    </w:pPr>
    <w:rPr>
      <w:sz w:val="20"/>
      <w:szCs w:val="20"/>
    </w:rPr>
  </w:style>
  <w:style w:type="character" w:customStyle="1" w:styleId="CommentTextChar">
    <w:name w:val="Comment Text Char"/>
    <w:basedOn w:val="DefaultParagraphFont"/>
    <w:link w:val="CommentText"/>
    <w:uiPriority w:val="99"/>
    <w:semiHidden/>
    <w:rsid w:val="00503190"/>
    <w:rPr>
      <w:sz w:val="20"/>
      <w:szCs w:val="20"/>
    </w:rPr>
  </w:style>
  <w:style w:type="paragraph" w:styleId="CommentSubject">
    <w:name w:val="annotation subject"/>
    <w:basedOn w:val="CommentText"/>
    <w:next w:val="CommentText"/>
    <w:link w:val="CommentSubjectChar"/>
    <w:uiPriority w:val="99"/>
    <w:semiHidden/>
    <w:unhideWhenUsed/>
    <w:rsid w:val="00503190"/>
    <w:rPr>
      <w:b/>
      <w:bCs/>
    </w:rPr>
  </w:style>
  <w:style w:type="character" w:customStyle="1" w:styleId="CommentSubjectChar">
    <w:name w:val="Comment Subject Char"/>
    <w:basedOn w:val="CommentTextChar"/>
    <w:link w:val="CommentSubject"/>
    <w:uiPriority w:val="99"/>
    <w:semiHidden/>
    <w:rsid w:val="00503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mer@hcq.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q.org.au/wp-content/uploads/2015/12/Consumer-Remuneration-Rates-Dec-201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nicalexcellence.qld.gov.au/index.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mer@hc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FC363-5E86-4AFA-B3F4-59BA1CE4DC9B}">
  <ds:schemaRefs>
    <ds:schemaRef ds:uri="http://schemas.openxmlformats.org/officeDocument/2006/bibliography"/>
  </ds:schemaRefs>
</ds:datastoreItem>
</file>

<file path=customXml/itemProps2.xml><?xml version="1.0" encoding="utf-8"?>
<ds:datastoreItem xmlns:ds="http://schemas.openxmlformats.org/officeDocument/2006/customXml" ds:itemID="{BC9CA6D9-E9C4-4335-B608-5010758863F7}"/>
</file>

<file path=customXml/itemProps3.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DF0E37-B947-4FEB-80E8-0CF8514BB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3</cp:revision>
  <dcterms:created xsi:type="dcterms:W3CDTF">2020-10-28T01:24:00Z</dcterms:created>
  <dcterms:modified xsi:type="dcterms:W3CDTF">2020-10-28T01:24:00Z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