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08D02" w14:textId="34ED9AA4" w:rsidR="00CF307C" w:rsidRPr="00CF307C" w:rsidRDefault="00AD5F28" w:rsidP="005D3A12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 xml:space="preserve">Application </w:t>
      </w:r>
      <w:r w:rsidR="00CF307C">
        <w:rPr>
          <w:sz w:val="36"/>
        </w:rPr>
        <w:t xml:space="preserve">for </w:t>
      </w:r>
      <w:r w:rsidR="005D3A12">
        <w:rPr>
          <w:sz w:val="36"/>
        </w:rPr>
        <w:t>Reference Group</w:t>
      </w:r>
      <w:r w:rsidR="00CF307C" w:rsidRPr="00CF307C">
        <w:rPr>
          <w:sz w:val="36"/>
        </w:rPr>
        <w:t xml:space="preserve"> Member</w:t>
      </w:r>
      <w:r w:rsidR="005A38C5">
        <w:rPr>
          <w:sz w:val="36"/>
        </w:rPr>
        <w:t>s</w:t>
      </w:r>
    </w:p>
    <w:p w14:paraId="6A2E371A" w14:textId="0EA01973" w:rsidR="007A67B5" w:rsidRDefault="005D3A12" w:rsidP="007A67B5">
      <w:pPr>
        <w:pStyle w:val="StaffH1"/>
        <w:pBdr>
          <w:bottom w:val="single" w:sz="4" w:space="1" w:color="9B0552"/>
        </w:pBdr>
        <w:jc w:val="center"/>
        <w:rPr>
          <w:sz w:val="36"/>
        </w:rPr>
      </w:pPr>
      <w:r>
        <w:rPr>
          <w:sz w:val="36"/>
        </w:rPr>
        <w:t>Digital Information Strategy for Mental Health Alcohol and Other Drugs Healthcare</w:t>
      </w:r>
      <w:r w:rsidR="00CF307C">
        <w:rPr>
          <w:sz w:val="36"/>
        </w:rPr>
        <w:t xml:space="preserve"> P</w:t>
      </w:r>
      <w:r w:rsidR="00CF307C" w:rsidRPr="00CF307C">
        <w:rPr>
          <w:sz w:val="36"/>
        </w:rPr>
        <w:t xml:space="preserve">roject </w:t>
      </w:r>
    </w:p>
    <w:p w14:paraId="0A04D531" w14:textId="57A3B4C7" w:rsidR="00CF307C" w:rsidRPr="0011708E" w:rsidRDefault="00CF307C" w:rsidP="0011708E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CF307C">
        <w:rPr>
          <w:rFonts w:asciiTheme="minorHAnsi" w:hAnsiTheme="minorHAnsi" w:cstheme="minorHAnsi"/>
          <w:color w:val="auto"/>
          <w:sz w:val="22"/>
        </w:rPr>
        <w:t xml:space="preserve">Closing date: </w:t>
      </w:r>
      <w:r w:rsidR="0093681A">
        <w:rPr>
          <w:rFonts w:asciiTheme="minorHAnsi" w:hAnsiTheme="minorHAnsi" w:cstheme="minorHAnsi"/>
          <w:color w:val="auto"/>
          <w:sz w:val="22"/>
        </w:rPr>
        <w:t xml:space="preserve">5pm Wednesday, </w:t>
      </w:r>
      <w:r w:rsidR="005A38C5">
        <w:rPr>
          <w:rFonts w:asciiTheme="minorHAnsi" w:hAnsiTheme="minorHAnsi" w:cstheme="minorHAnsi"/>
          <w:color w:val="auto"/>
          <w:sz w:val="22"/>
        </w:rPr>
        <w:t>18 November 2020</w:t>
      </w:r>
    </w:p>
    <w:p w14:paraId="76735CC3" w14:textId="0B22A9B3" w:rsidR="007A67B5" w:rsidRPr="007A67B5" w:rsidRDefault="005D3A12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>
        <w:rPr>
          <w:rStyle w:val="Hyperlink"/>
          <w:bCs/>
          <w:color w:val="9B1D54"/>
          <w:sz w:val="28"/>
          <w:szCs w:val="28"/>
          <w:u w:val="none"/>
        </w:rPr>
        <w:t>Mental Health Alcohol and Other Drugs Branch,</w:t>
      </w:r>
      <w:r w:rsidR="0011708E">
        <w:rPr>
          <w:rStyle w:val="Hyperlink"/>
          <w:bCs/>
          <w:color w:val="9B1D54"/>
          <w:sz w:val="28"/>
          <w:szCs w:val="28"/>
          <w:u w:val="none"/>
        </w:rPr>
        <w:t xml:space="preserve"> </w:t>
      </w:r>
      <w:r w:rsidR="007A67B5" w:rsidRPr="007A67B5">
        <w:rPr>
          <w:rStyle w:val="Hyperlink"/>
          <w:bCs/>
          <w:color w:val="9B1D54"/>
          <w:sz w:val="28"/>
          <w:szCs w:val="28"/>
          <w:u w:val="none"/>
        </w:rPr>
        <w:t>Queensland Department of Health</w:t>
      </w:r>
    </w:p>
    <w:p w14:paraId="177377E2" w14:textId="1A621FEF" w:rsidR="0093681A" w:rsidRPr="00F168C5" w:rsidRDefault="0093681A" w:rsidP="0011708E">
      <w:pPr>
        <w:ind w:right="-755"/>
        <w:rPr>
          <w:b/>
          <w:bCs/>
        </w:rPr>
      </w:pPr>
      <w:r w:rsidRPr="00F168C5">
        <w:rPr>
          <w:b/>
          <w:bCs/>
        </w:rPr>
        <w:t>The Mental Health Alcohol and Other Drugs Branch (MHAODB)</w:t>
      </w:r>
      <w:r>
        <w:rPr>
          <w:b/>
          <w:bCs/>
        </w:rPr>
        <w:t xml:space="preserve"> is recruiting consumer and </w:t>
      </w:r>
      <w:proofErr w:type="spellStart"/>
      <w:r>
        <w:rPr>
          <w:b/>
          <w:bCs/>
        </w:rPr>
        <w:t>carers</w:t>
      </w:r>
      <w:proofErr w:type="spellEnd"/>
      <w:r>
        <w:rPr>
          <w:b/>
          <w:bCs/>
        </w:rPr>
        <w:t xml:space="preserve"> </w:t>
      </w:r>
      <w:r w:rsidRPr="0093681A">
        <w:rPr>
          <w:b/>
          <w:bCs/>
        </w:rPr>
        <w:t>with lived experience and recent engagement with Queensland’s public mental health and alcohol and other drugs services to express their interest in participating in Reference Groups</w:t>
      </w:r>
      <w:r w:rsidR="00756416">
        <w:rPr>
          <w:b/>
          <w:bCs/>
        </w:rPr>
        <w:t xml:space="preserve"> to inform the development of a Digital Information Strategy </w:t>
      </w:r>
    </w:p>
    <w:p w14:paraId="1C061BC3" w14:textId="4A9A2B14" w:rsidR="00D32794" w:rsidRDefault="00D32794" w:rsidP="0011708E">
      <w:pPr>
        <w:ind w:right="-755"/>
      </w:pPr>
      <w:r>
        <w:t xml:space="preserve">The Mental Health Alcohol and Other Drugs Branch (MHAODB) is leading a project to develop </w:t>
      </w:r>
      <w:r w:rsidR="00470EE3">
        <w:t>a</w:t>
      </w:r>
      <w:r>
        <w:t xml:space="preserve"> Digital Information Strategy (the Strategy) for mental health alcohol and other drugs healthcare. As part of the consultation to inform the development of the Strategy, four </w:t>
      </w:r>
      <w:r w:rsidR="00470EE3">
        <w:t>R</w:t>
      </w:r>
      <w:r>
        <w:t xml:space="preserve">eference </w:t>
      </w:r>
      <w:r w:rsidR="00470EE3">
        <w:t>G</w:t>
      </w:r>
      <w:r>
        <w:t xml:space="preserve">roups will be formed with members participating in workshops to share their knowledge and experience.  The workshops will be facilitated by a consultancy group </w:t>
      </w:r>
      <w:r w:rsidR="00470EE3">
        <w:t xml:space="preserve">with the first workshops to be </w:t>
      </w:r>
      <w:r>
        <w:t>held in early December 2020</w:t>
      </w:r>
      <w:r w:rsidR="00470EE3">
        <w:t>.</w:t>
      </w:r>
    </w:p>
    <w:p w14:paraId="35FBB151" w14:textId="2F728C60" w:rsidR="00D32794" w:rsidRPr="00B85A22" w:rsidRDefault="00470EE3" w:rsidP="0011708E">
      <w:pPr>
        <w:ind w:right="-755"/>
      </w:pPr>
      <w:r>
        <w:t>F</w:t>
      </w:r>
      <w:r w:rsidR="00D32794">
        <w:t>urther information about</w:t>
      </w:r>
      <w:r>
        <w:t xml:space="preserve"> MHAODB and </w:t>
      </w:r>
      <w:r w:rsidR="00D32794">
        <w:t xml:space="preserve">the </w:t>
      </w:r>
      <w:r>
        <w:t>Reference G</w:t>
      </w:r>
      <w:r w:rsidR="00D32794">
        <w:t>roups</w:t>
      </w:r>
      <w:r>
        <w:t xml:space="preserve"> </w:t>
      </w:r>
      <w:r w:rsidR="00D32794">
        <w:t xml:space="preserve">is provided below. </w:t>
      </w:r>
    </w:p>
    <w:p w14:paraId="1AB88D42" w14:textId="0ECD1849" w:rsidR="001E0F8C" w:rsidRPr="00637B66" w:rsidRDefault="00637B66" w:rsidP="001E0F8C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637B66">
        <w:rPr>
          <w:rStyle w:val="Hyperlink"/>
          <w:bCs/>
          <w:color w:val="9B1D54"/>
          <w:sz w:val="28"/>
          <w:szCs w:val="28"/>
          <w:u w:val="none"/>
        </w:rPr>
        <w:t>About the Mental Health Alcohol and Other Drugs Branch</w:t>
      </w:r>
    </w:p>
    <w:p w14:paraId="4CAD515F" w14:textId="310EF8B5" w:rsidR="001E0F8C" w:rsidRPr="001E0F8C" w:rsidRDefault="001E0F8C" w:rsidP="00FD3AAD">
      <w:pPr>
        <w:ind w:right="-755"/>
      </w:pPr>
      <w:r w:rsidRPr="001E0F8C">
        <w:t xml:space="preserve">The </w:t>
      </w:r>
      <w:r w:rsidR="003C24D3">
        <w:t xml:space="preserve">MHAODB </w:t>
      </w:r>
      <w:r w:rsidRPr="001E0F8C">
        <w:t xml:space="preserve">supports the statewide development, delivery and enhancement of safe, quality, evidence-based clinical and non-clinical services in the specialist areas of mental health and alcohol and other drugs </w:t>
      </w:r>
      <w:r w:rsidR="003C24D3">
        <w:t>healthcare</w:t>
      </w:r>
      <w:r w:rsidRPr="001E0F8C">
        <w:t>.</w:t>
      </w:r>
    </w:p>
    <w:p w14:paraId="6F47E8C2" w14:textId="53274E91" w:rsidR="001E0F8C" w:rsidRDefault="001E0F8C" w:rsidP="007A67B5">
      <w:pPr>
        <w:ind w:right="-755"/>
      </w:pPr>
      <w:r w:rsidRPr="001E0F8C">
        <w:t>This includes supporting and coordinating clinical and non-clinical service development and improvement, including the management and evaluation of performance across Queensland. MHAODB also undertakes contemporary evidence-based service planning, development and review of models of care, new programs and service delivery initiatives</w:t>
      </w:r>
      <w:r w:rsidR="003C24D3">
        <w:t xml:space="preserve"> and</w:t>
      </w:r>
      <w:r w:rsidRPr="001E0F8C">
        <w:t xml:space="preserve"> is also responsible for statewide policy development in collaboration with government and non-government partners at the state and national level and representing Queensland in progressing national reform agendas.</w:t>
      </w:r>
    </w:p>
    <w:p w14:paraId="3AD8D6E3" w14:textId="542B9EB9" w:rsidR="0011708E" w:rsidRPr="0011708E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Purpose</w:t>
      </w:r>
    </w:p>
    <w:p w14:paraId="719BBDA0" w14:textId="38D8D111" w:rsidR="00756416" w:rsidRDefault="00614F18" w:rsidP="00614F18">
      <w:pPr>
        <w:ind w:right="-755"/>
      </w:pPr>
      <w:r>
        <w:t xml:space="preserve">To inform the development of the Strategy, four reference groups </w:t>
      </w:r>
      <w:r w:rsidR="00756416">
        <w:t xml:space="preserve">will be formed </w:t>
      </w:r>
      <w:r>
        <w:t>covering</w:t>
      </w:r>
      <w:r w:rsidR="00756416">
        <w:t>;</w:t>
      </w:r>
    </w:p>
    <w:p w14:paraId="50ADD532" w14:textId="38A22262" w:rsidR="00756416" w:rsidRDefault="00614F18" w:rsidP="00740D6F">
      <w:pPr>
        <w:pStyle w:val="ListParagraph"/>
        <w:numPr>
          <w:ilvl w:val="0"/>
          <w:numId w:val="9"/>
        </w:numPr>
        <w:ind w:right="-755"/>
      </w:pPr>
      <w:r>
        <w:t>Acute and Crisis Care</w:t>
      </w:r>
      <w:r w:rsidR="00756416">
        <w:t xml:space="preserve"> </w:t>
      </w:r>
      <w:proofErr w:type="spellStart"/>
      <w:r w:rsidR="00756416">
        <w:t>eg.</w:t>
      </w:r>
      <w:proofErr w:type="spellEnd"/>
      <w:r w:rsidR="00756416">
        <w:t xml:space="preserve"> </w:t>
      </w:r>
      <w:r w:rsidR="00B90E50">
        <w:t>inpatient care, emergency department care</w:t>
      </w:r>
    </w:p>
    <w:p w14:paraId="110D23BA" w14:textId="00781D9C" w:rsidR="00756416" w:rsidRDefault="00614F18" w:rsidP="00756416">
      <w:pPr>
        <w:pStyle w:val="ListParagraph"/>
        <w:numPr>
          <w:ilvl w:val="0"/>
          <w:numId w:val="9"/>
        </w:numPr>
        <w:ind w:right="-755"/>
      </w:pPr>
      <w:r>
        <w:t>Secure and Diversion Care</w:t>
      </w:r>
      <w:r w:rsidR="00756416">
        <w:t xml:space="preserve"> </w:t>
      </w:r>
      <w:proofErr w:type="spellStart"/>
      <w:r w:rsidR="00756416">
        <w:t>eg.</w:t>
      </w:r>
      <w:proofErr w:type="spellEnd"/>
      <w:r w:rsidR="00B90E50">
        <w:t xml:space="preserve"> forensic treatment and care, court liaison and diversion services</w:t>
      </w:r>
    </w:p>
    <w:p w14:paraId="7AC66D60" w14:textId="029558B2" w:rsidR="00756416" w:rsidRDefault="00885EEB" w:rsidP="00F168C5">
      <w:pPr>
        <w:pStyle w:val="ListParagraph"/>
        <w:numPr>
          <w:ilvl w:val="0"/>
          <w:numId w:val="9"/>
        </w:numPr>
        <w:ind w:right="-755"/>
      </w:pPr>
      <w:r>
        <w:t>Community Bed-based (Residential) Care</w:t>
      </w:r>
      <w:r w:rsidR="00756416">
        <w:t xml:space="preserve"> </w:t>
      </w:r>
      <w:proofErr w:type="spellStart"/>
      <w:r w:rsidR="00756416">
        <w:t>eg.</w:t>
      </w:r>
      <w:proofErr w:type="spellEnd"/>
      <w:r w:rsidR="00756416">
        <w:t xml:space="preserve"> </w:t>
      </w:r>
      <w:r w:rsidR="00B90E50">
        <w:t>community care units and step-up step-down services; secure mental health rehabilitation units</w:t>
      </w:r>
    </w:p>
    <w:p w14:paraId="3E594322" w14:textId="41012884" w:rsidR="00756416" w:rsidRDefault="00885EEB" w:rsidP="00756416">
      <w:pPr>
        <w:pStyle w:val="ListParagraph"/>
        <w:numPr>
          <w:ilvl w:val="0"/>
          <w:numId w:val="9"/>
        </w:numPr>
        <w:ind w:right="-755"/>
      </w:pPr>
      <w:r>
        <w:t xml:space="preserve">Community Care </w:t>
      </w:r>
      <w:proofErr w:type="spellStart"/>
      <w:r w:rsidR="00756416">
        <w:t>eg.</w:t>
      </w:r>
      <w:proofErr w:type="spellEnd"/>
      <w:r w:rsidR="00756416">
        <w:t xml:space="preserve"> </w:t>
      </w:r>
      <w:r w:rsidR="00B90E50">
        <w:t>community based care</w:t>
      </w:r>
    </w:p>
    <w:p w14:paraId="0A3A7EEE" w14:textId="77777777" w:rsidR="00756416" w:rsidRDefault="00885EEB" w:rsidP="00756416">
      <w:pPr>
        <w:ind w:right="-755"/>
      </w:pPr>
      <w:r>
        <w:lastRenderedPageBreak/>
        <w:t xml:space="preserve">The purpose of </w:t>
      </w:r>
      <w:r w:rsidR="008A305B">
        <w:t>each reference group</w:t>
      </w:r>
      <w:r>
        <w:t xml:space="preserve"> </w:t>
      </w:r>
      <w:r w:rsidR="008A305B">
        <w:t>will be</w:t>
      </w:r>
      <w:r>
        <w:t xml:space="preserve"> to bring individuals together </w:t>
      </w:r>
      <w:r w:rsidR="008A305B">
        <w:t xml:space="preserve">to share their knowledge and experience </w:t>
      </w:r>
      <w:r>
        <w:t xml:space="preserve">across two workshops. </w:t>
      </w:r>
    </w:p>
    <w:p w14:paraId="2B1CB5BA" w14:textId="77777777" w:rsidR="00756416" w:rsidRDefault="00885EEB" w:rsidP="00756416">
      <w:pPr>
        <w:pStyle w:val="ListParagraph"/>
        <w:numPr>
          <w:ilvl w:val="0"/>
          <w:numId w:val="10"/>
        </w:numPr>
        <w:ind w:right="-755"/>
      </w:pPr>
      <w:r>
        <w:t>The first workshop will inform the mapping of the current state of experience of care and care provision</w:t>
      </w:r>
      <w:r w:rsidR="00756416">
        <w:t>.</w:t>
      </w:r>
    </w:p>
    <w:p w14:paraId="431C1704" w14:textId="14480CB8" w:rsidR="00614F18" w:rsidRDefault="00470EE3" w:rsidP="00756416">
      <w:pPr>
        <w:pStyle w:val="ListParagraph"/>
        <w:numPr>
          <w:ilvl w:val="0"/>
          <w:numId w:val="10"/>
        </w:numPr>
        <w:ind w:right="-755"/>
      </w:pPr>
      <w:r>
        <w:t>T</w:t>
      </w:r>
      <w:r w:rsidR="00885EEB">
        <w:t xml:space="preserve">he second workshop will </w:t>
      </w:r>
      <w:r w:rsidR="008A305B">
        <w:t xml:space="preserve">seek information to </w:t>
      </w:r>
      <w:r w:rsidR="00885EEB">
        <w:t xml:space="preserve">inform the future state vision and identify key principles to support this, focusing on </w:t>
      </w:r>
      <w:r w:rsidR="008A305B">
        <w:t xml:space="preserve">the future of </w:t>
      </w:r>
      <w:r>
        <w:t>digital healthcare and information management across Q</w:t>
      </w:r>
      <w:r w:rsidR="00885EEB">
        <w:t>ueensland</w:t>
      </w:r>
      <w:r>
        <w:t>’s</w:t>
      </w:r>
      <w:r w:rsidR="00885EEB">
        <w:t xml:space="preserve"> </w:t>
      </w:r>
      <w:r>
        <w:t>m</w:t>
      </w:r>
      <w:r w:rsidR="00885EEB">
        <w:t xml:space="preserve">ental </w:t>
      </w:r>
      <w:r>
        <w:t>h</w:t>
      </w:r>
      <w:r w:rsidR="00885EEB">
        <w:t xml:space="preserve">ealth </w:t>
      </w:r>
      <w:r>
        <w:t>a</w:t>
      </w:r>
      <w:r w:rsidR="00885EEB">
        <w:t xml:space="preserve">lcohol and </w:t>
      </w:r>
      <w:r>
        <w:t>o</w:t>
      </w:r>
      <w:r w:rsidR="00885EEB">
        <w:t xml:space="preserve">ther </w:t>
      </w:r>
      <w:r>
        <w:t>d</w:t>
      </w:r>
      <w:r w:rsidR="00885EEB">
        <w:t xml:space="preserve">rugs </w:t>
      </w:r>
      <w:r>
        <w:t>s</w:t>
      </w:r>
      <w:r w:rsidR="00885EEB">
        <w:t>ervices</w:t>
      </w:r>
      <w:r>
        <w:t xml:space="preserve"> and broader health contexts.</w:t>
      </w:r>
    </w:p>
    <w:p w14:paraId="70BC1E3E" w14:textId="77777777" w:rsidR="00756416" w:rsidRDefault="00756416" w:rsidP="00F168C5">
      <w:pPr>
        <w:pStyle w:val="ListParagraph"/>
        <w:ind w:left="720" w:right="-755"/>
      </w:pPr>
    </w:p>
    <w:p w14:paraId="0ECCD3D2" w14:textId="24EC8BE5" w:rsidR="00885EEB" w:rsidRDefault="00885EEB" w:rsidP="00614F18">
      <w:pPr>
        <w:ind w:right="-755"/>
      </w:pPr>
      <w:r>
        <w:t xml:space="preserve">In addition to consumer and carer representatives, the </w:t>
      </w:r>
      <w:r w:rsidR="00470EE3">
        <w:t>R</w:t>
      </w:r>
      <w:r>
        <w:t xml:space="preserve">eference </w:t>
      </w:r>
      <w:r w:rsidR="00470EE3">
        <w:t>G</w:t>
      </w:r>
      <w:r>
        <w:t xml:space="preserve">roups will include participants from </w:t>
      </w:r>
      <w:r w:rsidR="00470EE3">
        <w:t>H</w:t>
      </w:r>
      <w:r>
        <w:t xml:space="preserve">ospital and </w:t>
      </w:r>
      <w:r w:rsidR="00470EE3">
        <w:t>H</w:t>
      </w:r>
      <w:r>
        <w:t xml:space="preserve">ealth </w:t>
      </w:r>
      <w:r w:rsidR="00470EE3">
        <w:t>S</w:t>
      </w:r>
      <w:r>
        <w:t xml:space="preserve">ervices, </w:t>
      </w:r>
      <w:r w:rsidR="00470EE3">
        <w:t>MHAODB</w:t>
      </w:r>
      <w:r>
        <w:t xml:space="preserve">, </w:t>
      </w:r>
      <w:r w:rsidR="008A305B">
        <w:t>primary health care and non-government organisations.</w:t>
      </w:r>
    </w:p>
    <w:p w14:paraId="2BB88A2C" w14:textId="0BDA457C" w:rsidR="0011708E" w:rsidRDefault="00C10437" w:rsidP="0011708E">
      <w:pPr>
        <w:ind w:right="-755"/>
      </w:pPr>
      <w:r w:rsidRPr="00C10437">
        <w:rPr>
          <w:lang w:val="en-AU"/>
        </w:rPr>
        <w:t xml:space="preserve">Reference </w:t>
      </w:r>
      <w:r w:rsidR="00470EE3">
        <w:rPr>
          <w:lang w:val="en-AU"/>
        </w:rPr>
        <w:t>G</w:t>
      </w:r>
      <w:r w:rsidRPr="00C10437">
        <w:rPr>
          <w:lang w:val="en-AU"/>
        </w:rPr>
        <w:t xml:space="preserve">roup members will be asked to attend a three-hour workshop and subsequent two-hour workshop - totalling a five-hour time commitment with some pre-reading to be provided.  The </w:t>
      </w:r>
      <w:r w:rsidR="00470EE3">
        <w:rPr>
          <w:lang w:val="en-AU"/>
        </w:rPr>
        <w:t xml:space="preserve">first </w:t>
      </w:r>
      <w:r w:rsidRPr="00C10437">
        <w:rPr>
          <w:lang w:val="en-AU"/>
        </w:rPr>
        <w:t xml:space="preserve">reference group workshops will be scheduled to commence in </w:t>
      </w:r>
      <w:r w:rsidR="00470EE3">
        <w:rPr>
          <w:lang w:val="en-AU"/>
        </w:rPr>
        <w:t>early December</w:t>
      </w:r>
      <w:r w:rsidRPr="00C10437">
        <w:rPr>
          <w:lang w:val="en-AU"/>
        </w:rPr>
        <w:t xml:space="preserve"> 2020</w:t>
      </w:r>
      <w:r w:rsidR="00470EE3">
        <w:rPr>
          <w:lang w:val="en-AU"/>
        </w:rPr>
        <w:t>.</w:t>
      </w:r>
    </w:p>
    <w:p w14:paraId="55A3B514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Role of the consumer</w:t>
      </w:r>
    </w:p>
    <w:p w14:paraId="72C2067B" w14:textId="643C2101" w:rsidR="007A67B5" w:rsidRPr="00493227" w:rsidRDefault="007A67B5" w:rsidP="007A67B5">
      <w:pPr>
        <w:ind w:right="-755"/>
        <w:rPr>
          <w:rStyle w:val="Hyperlink"/>
          <w:color w:val="auto"/>
          <w:u w:val="none"/>
        </w:rPr>
      </w:pPr>
      <w:r w:rsidRPr="00C65182">
        <w:t xml:space="preserve">The role of the successful </w:t>
      </w:r>
      <w:r w:rsidR="008A305B">
        <w:t xml:space="preserve">consumer and / or carer </w:t>
      </w:r>
      <w:r w:rsidRPr="00C65182">
        <w:t>applicant</w:t>
      </w:r>
      <w:r w:rsidR="008A305B">
        <w:t>s</w:t>
      </w:r>
      <w:r w:rsidRPr="00C65182">
        <w:t xml:space="preserve"> </w:t>
      </w:r>
      <w:r>
        <w:t xml:space="preserve">will be to attend </w:t>
      </w:r>
      <w:r w:rsidR="00420BEF">
        <w:t>a series of reference group workshops</w:t>
      </w:r>
      <w:r>
        <w:t xml:space="preserve"> and to a</w:t>
      </w:r>
      <w:r w:rsidRPr="00C65182">
        <w:t xml:space="preserve">ctively participate in all </w:t>
      </w:r>
      <w:r w:rsidR="00420BEF">
        <w:t xml:space="preserve">reference group </w:t>
      </w:r>
      <w:r w:rsidRPr="00C65182">
        <w:t xml:space="preserve">activities such as </w:t>
      </w:r>
      <w:r>
        <w:t xml:space="preserve">pre-meeting reading, discussions, provision of feedback and advice. </w:t>
      </w:r>
    </w:p>
    <w:p w14:paraId="187F9A6B" w14:textId="77777777" w:rsidR="007A67B5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>Who is it for?</w:t>
      </w:r>
    </w:p>
    <w:p w14:paraId="660C2146" w14:textId="50614D38" w:rsidR="005D726A" w:rsidRPr="00AA4B3C" w:rsidRDefault="005A08BE" w:rsidP="007A67B5">
      <w:pPr>
        <w:ind w:right="-755"/>
        <w:rPr>
          <w:rStyle w:val="Hyperlink"/>
          <w:color w:val="auto"/>
          <w:u w:val="none"/>
        </w:rPr>
      </w:pPr>
      <w:r>
        <w:t>This opportunity would suit a consumer or carer representative with</w:t>
      </w:r>
      <w:r w:rsidR="00420BEF">
        <w:t xml:space="preserve"> recent lived</w:t>
      </w:r>
      <w:r>
        <w:t xml:space="preserve"> experience</w:t>
      </w:r>
      <w:r w:rsidR="00420BEF">
        <w:t xml:space="preserve"> of Queensland public mental healthcare</w:t>
      </w:r>
      <w:r w:rsidR="00470EE3">
        <w:t xml:space="preserve"> and/</w:t>
      </w:r>
      <w:r w:rsidR="00420BEF">
        <w:t>or alcohol and other drug</w:t>
      </w:r>
      <w:r w:rsidR="00470EE3">
        <w:t>s</w:t>
      </w:r>
      <w:r w:rsidR="00420BEF">
        <w:t xml:space="preserve"> healthcare.</w:t>
      </w:r>
      <w:r>
        <w:t xml:space="preserve"> </w:t>
      </w:r>
      <w:r w:rsidR="008A305B">
        <w:t>Consumers and carers with an interest in digital healthcare and data and information management</w:t>
      </w:r>
      <w:r w:rsidR="001E0F8C">
        <w:t xml:space="preserve"> are encouraged to apply.</w:t>
      </w:r>
    </w:p>
    <w:p w14:paraId="082B5D73" w14:textId="4998ACB1" w:rsidR="008A305B" w:rsidRPr="007A67B5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7A67B5">
        <w:rPr>
          <w:rStyle w:val="Hyperlink"/>
          <w:bCs/>
          <w:color w:val="9B1D54"/>
          <w:sz w:val="28"/>
          <w:szCs w:val="28"/>
          <w:u w:val="none"/>
        </w:rPr>
        <w:t xml:space="preserve">Time and location </w:t>
      </w:r>
    </w:p>
    <w:p w14:paraId="60BADD7B" w14:textId="4F00B672" w:rsidR="005D726A" w:rsidRDefault="008A305B" w:rsidP="007A67B5">
      <w:pPr>
        <w:autoSpaceDE w:val="0"/>
        <w:autoSpaceDN w:val="0"/>
        <w:adjustRightInd w:val="0"/>
        <w:spacing w:after="120" w:line="240" w:lineRule="auto"/>
      </w:pPr>
      <w:r>
        <w:t>The Reference Group workshops will be held virtually via Microsoft Teams and it is anticipated that the first workshops will be scheduled during the weeks commencing 30 November and 7 December 2020.</w:t>
      </w:r>
    </w:p>
    <w:p w14:paraId="69640070" w14:textId="008DB1DF" w:rsidR="001E0F8C" w:rsidRDefault="001E0F8C" w:rsidP="007A67B5">
      <w:pPr>
        <w:autoSpaceDE w:val="0"/>
        <w:autoSpaceDN w:val="0"/>
        <w:adjustRightInd w:val="0"/>
        <w:spacing w:after="120" w:line="240" w:lineRule="auto"/>
      </w:pPr>
      <w:r>
        <w:t>The second series of workshops will be held early in the New Year, from 4 January 2020.</w:t>
      </w:r>
    </w:p>
    <w:p w14:paraId="56ED78AC" w14:textId="7DDADD1B" w:rsidR="001E0F8C" w:rsidRDefault="001E0F8C" w:rsidP="007A67B5">
      <w:pPr>
        <w:autoSpaceDE w:val="0"/>
        <w:autoSpaceDN w:val="0"/>
        <w:adjustRightInd w:val="0"/>
        <w:spacing w:after="120" w:line="240" w:lineRule="auto"/>
      </w:pPr>
      <w:r>
        <w:t xml:space="preserve">An orientation session will also be held with successful applicants and this will be scheduled prior to the commencement of the </w:t>
      </w:r>
      <w:r w:rsidR="00470EE3">
        <w:t>R</w:t>
      </w:r>
      <w:r>
        <w:t xml:space="preserve">eference </w:t>
      </w:r>
      <w:r w:rsidR="00470EE3">
        <w:t>G</w:t>
      </w:r>
      <w:r>
        <w:t xml:space="preserve">roup workshops. </w:t>
      </w:r>
    </w:p>
    <w:p w14:paraId="7BCFA167" w14:textId="77777777" w:rsidR="007A67B5" w:rsidRPr="00996C71" w:rsidRDefault="007A67B5" w:rsidP="007A67B5">
      <w:pPr>
        <w:autoSpaceDE w:val="0"/>
        <w:autoSpaceDN w:val="0"/>
        <w:adjustRightInd w:val="0"/>
        <w:spacing w:after="120" w:line="240" w:lineRule="auto"/>
        <w:rPr>
          <w:rStyle w:val="Hyperlink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14:paraId="1991AAF1" w14:textId="67A44C4F" w:rsidR="00756416" w:rsidRPr="00DE276A" w:rsidRDefault="007A67B5" w:rsidP="007A67B5">
      <w:r w:rsidRPr="00DE276A">
        <w:t xml:space="preserve">Consumers will be remunerated for their time in line with </w:t>
      </w:r>
      <w:hyperlink r:id="rId10" w:history="1">
        <w:r w:rsidRPr="00671551">
          <w:rPr>
            <w:rStyle w:val="Hyperlink"/>
          </w:rPr>
          <w:t>Health Consumers Queensland’s remuneration position statement</w:t>
        </w:r>
      </w:hyperlink>
      <w:r w:rsidRPr="00DE276A">
        <w:t xml:space="preserve">. </w:t>
      </w:r>
    </w:p>
    <w:p w14:paraId="15D6351C" w14:textId="77777777" w:rsidR="007A67B5" w:rsidRPr="00996C71" w:rsidRDefault="007A67B5" w:rsidP="007A67B5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96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14:paraId="55C01EA1" w14:textId="647C315C" w:rsidR="007A67B5" w:rsidRPr="002933DA" w:rsidRDefault="007A67B5" w:rsidP="007A67B5">
      <w:pPr>
        <w:rPr>
          <w:b/>
          <w:color w:val="0563C1" w:themeColor="hyperlink"/>
          <w:u w:val="single"/>
        </w:rPr>
      </w:pPr>
      <w:r w:rsidRPr="00624D12">
        <w:rPr>
          <w:b/>
        </w:rPr>
        <w:t>Please complete this</w:t>
      </w:r>
      <w:r>
        <w:rPr>
          <w:b/>
        </w:rPr>
        <w:t xml:space="preserve"> consumer</w:t>
      </w:r>
      <w:r w:rsidRPr="00624D12">
        <w:rPr>
          <w:b/>
        </w:rPr>
        <w:t xml:space="preserve"> </w:t>
      </w:r>
      <w:r>
        <w:rPr>
          <w:b/>
        </w:rPr>
        <w:t>application</w:t>
      </w:r>
      <w:r w:rsidRPr="00624D12">
        <w:rPr>
          <w:b/>
        </w:rPr>
        <w:t xml:space="preserve"> </w:t>
      </w:r>
      <w:r>
        <w:rPr>
          <w:b/>
        </w:rPr>
        <w:t xml:space="preserve">form </w:t>
      </w:r>
      <w:r w:rsidRPr="00624D12">
        <w:rPr>
          <w:b/>
        </w:rPr>
        <w:t>and return to</w:t>
      </w:r>
      <w:r>
        <w:rPr>
          <w:b/>
          <w:i/>
        </w:rPr>
        <w:t xml:space="preserve"> </w:t>
      </w:r>
      <w:hyperlink r:id="rId11" w:history="1">
        <w:r w:rsidRPr="00F274C6">
          <w:rPr>
            <w:rStyle w:val="Hyperlink"/>
            <w:b/>
          </w:rPr>
          <w:t>consumer@hcq.org.au</w:t>
        </w:r>
      </w:hyperlink>
      <w:r>
        <w:rPr>
          <w:rStyle w:val="Hyperlink"/>
          <w:b/>
        </w:rPr>
        <w:t xml:space="preserve"> </w:t>
      </w:r>
      <w:r w:rsidRPr="00F168C5">
        <w:rPr>
          <w:rStyle w:val="Hyperlink"/>
          <w:b/>
          <w:bCs/>
          <w:color w:val="auto"/>
          <w:u w:val="none"/>
        </w:rPr>
        <w:t xml:space="preserve">by </w:t>
      </w:r>
      <w:r w:rsidR="00756416">
        <w:rPr>
          <w:rStyle w:val="Hyperlink"/>
          <w:b/>
          <w:bCs/>
          <w:color w:val="auto"/>
          <w:u w:val="none"/>
        </w:rPr>
        <w:t xml:space="preserve">5pm </w:t>
      </w:r>
      <w:r w:rsidR="001E0F8C" w:rsidRPr="00F168C5">
        <w:rPr>
          <w:rStyle w:val="Hyperlink"/>
          <w:b/>
          <w:bCs/>
          <w:color w:val="auto"/>
          <w:u w:val="none"/>
        </w:rPr>
        <w:t>Wednesday</w:t>
      </w:r>
      <w:r w:rsidR="00756416">
        <w:rPr>
          <w:rStyle w:val="Hyperlink"/>
          <w:b/>
          <w:bCs/>
          <w:color w:val="auto"/>
          <w:u w:val="none"/>
        </w:rPr>
        <w:t xml:space="preserve">, </w:t>
      </w:r>
      <w:r w:rsidR="001E0F8C" w:rsidRPr="00F168C5">
        <w:rPr>
          <w:rStyle w:val="Hyperlink"/>
          <w:b/>
          <w:bCs/>
          <w:color w:val="auto"/>
          <w:u w:val="none"/>
        </w:rPr>
        <w:t>18 November 2020</w:t>
      </w:r>
      <w:r w:rsidRPr="00756416">
        <w:rPr>
          <w:rStyle w:val="Hyperlink"/>
          <w:b/>
          <w:bCs/>
          <w:color w:val="auto"/>
        </w:rPr>
        <w:t xml:space="preserve"> </w:t>
      </w:r>
    </w:p>
    <w:p w14:paraId="62911B28" w14:textId="31C49E34" w:rsidR="005A38C5" w:rsidRDefault="007A67B5" w:rsidP="007A67B5">
      <w:r w:rsidRPr="00F274C6">
        <w:t xml:space="preserve">For assistance please contact Health Consumers Queensland via </w:t>
      </w:r>
      <w:hyperlink r:id="rId12" w:history="1">
        <w:r w:rsidRPr="00F274C6">
          <w:rPr>
            <w:rStyle w:val="Hyperlink"/>
          </w:rPr>
          <w:t>consumer@hcq.org.au</w:t>
        </w:r>
      </w:hyperlink>
      <w:r w:rsidRPr="00F274C6">
        <w:t xml:space="preserve"> or by phone on 07 3012 9090.</w:t>
      </w:r>
    </w:p>
    <w:p w14:paraId="4484C919" w14:textId="77777777" w:rsidR="00AA4B3C" w:rsidRDefault="00AA4B3C" w:rsidP="007A67B5"/>
    <w:p w14:paraId="02A730EA" w14:textId="77777777" w:rsidR="007A67B5" w:rsidRDefault="007A67B5" w:rsidP="007A67B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Consumer Application Form</w:t>
      </w:r>
    </w:p>
    <w:p w14:paraId="630C2725" w14:textId="0B7E755C" w:rsidR="00947678" w:rsidRPr="00996C71" w:rsidRDefault="00756416" w:rsidP="00756416">
      <w:pPr>
        <w:jc w:val="center"/>
        <w:rPr>
          <w:b/>
          <w:sz w:val="32"/>
          <w:szCs w:val="24"/>
        </w:rPr>
      </w:pPr>
      <w:r w:rsidRPr="00756416">
        <w:rPr>
          <w:b/>
          <w:sz w:val="32"/>
          <w:szCs w:val="24"/>
        </w:rPr>
        <w:t xml:space="preserve">Digital Information Strategy for Mental Health Alcohol and Other Drugs Healthcare Project </w:t>
      </w:r>
    </w:p>
    <w:p w14:paraId="6446A1BD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14:paraId="04B7C4B4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14:paraId="1901D63B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14:paraId="768448AE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14:paraId="4BE544B4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14:paraId="35899338" w14:textId="77777777" w:rsidR="009D66F5" w:rsidRPr="00567FA9" w:rsidRDefault="009D66F5" w:rsidP="009D66F5">
      <w:pPr>
        <w:pStyle w:val="StaffH1"/>
        <w:pBdr>
          <w:top w:val="single" w:sz="4" w:space="1" w:color="A6A6A6" w:themeColor="background1" w:themeShade="A6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79E19F69" w14:textId="77777777" w:rsidR="008C3230" w:rsidRPr="00567FA9" w:rsidRDefault="008C3230" w:rsidP="009D66F5">
      <w:pPr>
        <w:pStyle w:val="StaffH1"/>
        <w:numPr>
          <w:ilvl w:val="0"/>
          <w:numId w:val="1"/>
        </w:numPr>
        <w:pBdr>
          <w:top w:val="single" w:sz="4" w:space="1" w:color="A6A6A6" w:themeColor="background1" w:themeShade="A6"/>
        </w:pBdr>
        <w:spacing w:before="24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By completing this </w:t>
      </w:r>
      <w:r w:rsidR="00567FA9" w:rsidRPr="00567FA9">
        <w:rPr>
          <w:rFonts w:asciiTheme="minorHAnsi" w:hAnsiTheme="minorHAnsi" w:cstheme="minorHAnsi"/>
          <w:color w:val="auto"/>
          <w:sz w:val="22"/>
        </w:rPr>
        <w:t>application,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 I consent for my details to be added to the Health Consumers Queensland network database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5FAD77B4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I would like to receive email updates from Health Consumers Queensland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1CD61846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happy for Health Consumers Queensland to share this form with Queensland Health as part of the process for this application?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14:paraId="58A4689A" w14:textId="77777777" w:rsidR="008C3230" w:rsidRPr="00567FA9" w:rsidRDefault="008C3230" w:rsidP="008C3230">
      <w:pPr>
        <w:pStyle w:val="StaffH1"/>
        <w:pBdr>
          <w:top w:val="single" w:sz="4" w:space="1" w:color="auto"/>
        </w:pBdr>
        <w:spacing w:before="240"/>
        <w:rPr>
          <w:rFonts w:asciiTheme="minorHAnsi" w:hAnsiTheme="minorHAnsi" w:cstheme="minorHAnsi"/>
          <w:color w:val="auto"/>
          <w:sz w:val="22"/>
        </w:rPr>
        <w:sectPr w:rsidR="008C3230" w:rsidRPr="00567FA9" w:rsidSect="007B111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364DC1EC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14:paraId="60155CBD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highlight any group you identify as being a part of:</w:t>
      </w:r>
    </w:p>
    <w:p w14:paraId="2E93AEFB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8C3230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A83C18" w14:textId="77777777" w:rsidR="00756416" w:rsidRPr="00756416" w:rsidRDefault="00756416" w:rsidP="00756416">
      <w:pPr>
        <w:pStyle w:val="StaffH1"/>
        <w:numPr>
          <w:ilvl w:val="0"/>
          <w:numId w:val="1"/>
        </w:numPr>
        <w:spacing w:after="80"/>
        <w:rPr>
          <w:rFonts w:asciiTheme="minorHAnsi" w:hAnsiTheme="minorHAnsi" w:cstheme="minorHAnsi"/>
          <w:b w:val="0"/>
          <w:color w:val="auto"/>
          <w:sz w:val="22"/>
        </w:rPr>
      </w:pPr>
      <w:r w:rsidRPr="00756416">
        <w:rPr>
          <w:rFonts w:asciiTheme="minorHAnsi" w:hAnsiTheme="minorHAnsi" w:cstheme="minorHAnsi"/>
          <w:b w:val="0"/>
          <w:color w:val="auto"/>
          <w:sz w:val="22"/>
        </w:rPr>
        <w:t>Have a lived experience of mental health and or alcohol and drug treatment services</w:t>
      </w:r>
    </w:p>
    <w:p w14:paraId="3E72DA5B" w14:textId="09392A7C" w:rsidR="00756416" w:rsidRPr="00756416" w:rsidRDefault="00756416" w:rsidP="00F168C5">
      <w:pPr>
        <w:pStyle w:val="StaffH1"/>
        <w:numPr>
          <w:ilvl w:val="0"/>
          <w:numId w:val="1"/>
        </w:numPr>
        <w:spacing w:after="80"/>
        <w:rPr>
          <w:rFonts w:asciiTheme="minorHAnsi" w:hAnsiTheme="minorHAnsi" w:cstheme="minorHAnsi"/>
          <w:b w:val="0"/>
          <w:color w:val="auto"/>
          <w:sz w:val="22"/>
        </w:rPr>
      </w:pPr>
      <w:r w:rsidRPr="00756416">
        <w:rPr>
          <w:rFonts w:asciiTheme="minorHAnsi" w:hAnsiTheme="minorHAnsi" w:cstheme="minorHAnsi"/>
          <w:b w:val="0"/>
          <w:color w:val="auto"/>
          <w:sz w:val="22"/>
        </w:rPr>
        <w:t>Caring for someone with a lived experience of mental health and or alcohol and drug treatment services</w:t>
      </w:r>
    </w:p>
    <w:p w14:paraId="72AC915F" w14:textId="68D7EB82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14:paraId="6151E092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Caring for someone with a disability</w:t>
      </w:r>
    </w:p>
    <w:p w14:paraId="1D213302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Physically isolated or transport disadvantaged</w:t>
      </w:r>
    </w:p>
    <w:p w14:paraId="1DAE91C5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14:paraId="4D1AF554" w14:textId="77777777" w:rsidR="008C3230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14:paraId="1E426B4A" w14:textId="77777777" w:rsidR="00B75112" w:rsidRPr="00567FA9" w:rsidRDefault="00B75112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LGBTIQ</w:t>
      </w:r>
      <w:r w:rsidR="00480614">
        <w:rPr>
          <w:rFonts w:asciiTheme="minorHAnsi" w:hAnsiTheme="minorHAnsi" w:cstheme="minorHAnsi"/>
          <w:b w:val="0"/>
          <w:color w:val="auto"/>
          <w:sz w:val="22"/>
        </w:rPr>
        <w:t>+</w:t>
      </w:r>
    </w:p>
    <w:p w14:paraId="751AAC34" w14:textId="77777777" w:rsidR="008C3230" w:rsidRPr="00567FA9" w:rsidRDefault="008C3230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1B4D3B2F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7CE429F3" w14:textId="77777777" w:rsidR="009D66F5" w:rsidRPr="00567FA9" w:rsidRDefault="008C3230" w:rsidP="00341D41">
      <w:pPr>
        <w:pStyle w:val="StaffH1"/>
        <w:spacing w:before="0" w:after="24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Aboriginal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Torres Strait Islander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Both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Prefer not to state</w:t>
      </w:r>
    </w:p>
    <w:p w14:paraId="582A521A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="00525CBB"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Consumer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341D41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Carer</w:t>
      </w:r>
    </w:p>
    <w:p w14:paraId="6A9C8EFA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1325FD5E" w14:textId="77777777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60-69     70+</w:t>
      </w:r>
    </w:p>
    <w:p w14:paraId="3375ABE2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562"/>
        <w:gridCol w:w="1826"/>
        <w:gridCol w:w="1384"/>
        <w:gridCol w:w="1246"/>
        <w:gridCol w:w="2028"/>
      </w:tblGrid>
      <w:tr w:rsidR="00E04855" w:rsidRPr="00E04855" w14:paraId="71346973" w14:textId="77777777" w:rsidTr="00475D15">
        <w:trPr>
          <w:trHeight w:val="430"/>
        </w:trPr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4FC170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b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AU"/>
              </w:rPr>
              <w:t>G</w:t>
            </w:r>
            <w:r w:rsidRPr="00E04855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AU"/>
              </w:rPr>
              <w:t>ende</w:t>
            </w:r>
            <w:r w:rsidRPr="00E0485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r</w:t>
            </w:r>
            <w:r w:rsidR="00475D15">
              <w:rPr>
                <w:rFonts w:ascii="Calibri" w:eastAsia="Calibri" w:hAnsi="Calibri" w:cs="Calibri"/>
                <w:b/>
                <w:bCs/>
                <w:position w:val="1"/>
                <w:lang w:val="en-AU"/>
              </w:rPr>
              <w:t>: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BCB257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 xml:space="preserve"> Male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12867A" w14:textId="77777777" w:rsidR="00E04855" w:rsidRPr="00E04855" w:rsidRDefault="00E04855" w:rsidP="00E04855">
            <w:pPr>
              <w:widowControl w:val="0"/>
              <w:tabs>
                <w:tab w:val="left" w:pos="4720"/>
                <w:tab w:val="left" w:pos="5440"/>
              </w:tabs>
              <w:spacing w:after="0" w:line="266" w:lineRule="exact"/>
              <w:ind w:right="-20"/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Fe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m</w:t>
            </w:r>
            <w:r w:rsidRPr="00E04855">
              <w:rPr>
                <w:rFonts w:ascii="Calibri" w:eastAsia="Calibri" w:hAnsi="Calibri" w:cs="Calibri"/>
                <w:bCs/>
                <w:spacing w:val="-1"/>
                <w:lang w:val="en-AU"/>
              </w:rPr>
              <w:t>a</w:t>
            </w:r>
            <w:r w:rsidRPr="00E04855">
              <w:rPr>
                <w:rFonts w:ascii="Calibri" w:eastAsia="Calibri" w:hAnsi="Calibri" w:cs="Calibri"/>
                <w:bCs/>
                <w:spacing w:val="1"/>
                <w:lang w:val="en-AU"/>
              </w:rPr>
              <w:t>l</w:t>
            </w:r>
            <w:r w:rsidRPr="00E04855">
              <w:rPr>
                <w:rFonts w:ascii="Calibri" w:eastAsia="Calibri" w:hAnsi="Calibri" w:cs="Calibri"/>
                <w:bCs/>
                <w:lang w:val="en-AU"/>
              </w:rPr>
              <w:t>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BDCC1D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Wingdings" w:hAnsi="Calibri" w:cs="Wingdings"/>
                <w:lang w:val="en-AU"/>
              </w:rPr>
              <w:t>Intersex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4C4D8E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Other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47EBF8" w14:textId="77777777" w:rsidR="00E04855" w:rsidRPr="00E04855" w:rsidRDefault="00E04855" w:rsidP="00E04855">
            <w:pPr>
              <w:widowControl w:val="0"/>
              <w:spacing w:before="94" w:after="0" w:line="240" w:lineRule="auto"/>
              <w:ind w:right="-20"/>
              <w:rPr>
                <w:rFonts w:ascii="Calibri" w:eastAsia="Calibri" w:hAnsi="Calibri" w:cs="Times New Roman"/>
                <w:noProof/>
                <w:sz w:val="11"/>
                <w:szCs w:val="11"/>
                <w:lang w:val="en-AU" w:eastAsia="en-AU"/>
              </w:rPr>
            </w:pPr>
            <w:r w:rsidRPr="00E04855">
              <w:rPr>
                <w:rFonts w:ascii="Wingdings" w:eastAsia="Wingdings" w:hAnsi="Wingdings" w:cs="Wingdings"/>
                <w:lang w:val="en-AU"/>
              </w:rPr>
              <w:t></w:t>
            </w:r>
            <w:r w:rsidRPr="00E04855">
              <w:rPr>
                <w:rFonts w:ascii="Wingdings" w:eastAsia="Wingdings" w:hAnsi="Wingdings" w:cs="Wingdings"/>
                <w:lang w:val="en-AU"/>
              </w:rPr>
              <w:t></w:t>
            </w:r>
            <w:r w:rsidRPr="00E04855">
              <w:rPr>
                <w:rFonts w:ascii="Calibri" w:eastAsia="Calibri" w:hAnsi="Calibri" w:cs="Calibri"/>
                <w:bCs/>
                <w:spacing w:val="1"/>
                <w:position w:val="1"/>
                <w:lang w:val="en-AU"/>
              </w:rPr>
              <w:t>Prefer not to state</w:t>
            </w:r>
          </w:p>
        </w:tc>
      </w:tr>
    </w:tbl>
    <w:p w14:paraId="02BE5140" w14:textId="77777777" w:rsidR="00E04855" w:rsidRPr="00E04855" w:rsidRDefault="00E04855" w:rsidP="00E04855">
      <w:pPr>
        <w:pStyle w:val="StaffH1"/>
        <w:spacing w:line="240" w:lineRule="auto"/>
        <w:rPr>
          <w:rFonts w:asciiTheme="minorHAnsi" w:hAnsiTheme="minorHAnsi" w:cstheme="minorHAnsi"/>
          <w:color w:val="auto"/>
          <w:sz w:val="10"/>
          <w:szCs w:val="10"/>
        </w:rPr>
      </w:pPr>
    </w:p>
    <w:p w14:paraId="5A3FAA16" w14:textId="77777777" w:rsidR="009D66F5" w:rsidRPr="00567FA9" w:rsidRDefault="009D66F5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describe any support you need to take part in this activity</w:t>
      </w:r>
      <w:r w:rsidR="007B1118" w:rsidRPr="00567FA9">
        <w:rPr>
          <w:rFonts w:asciiTheme="minorHAnsi" w:hAnsiTheme="minorHAnsi" w:cstheme="minorHAnsi"/>
          <w:color w:val="auto"/>
          <w:sz w:val="22"/>
        </w:rPr>
        <w:t xml:space="preserve"> </w:t>
      </w:r>
      <w:r w:rsidR="007B1118" w:rsidRPr="00567FA9">
        <w:rPr>
          <w:rFonts w:asciiTheme="minorHAnsi" w:hAnsiTheme="minorHAnsi" w:cstheme="minorHAnsi"/>
          <w:b w:val="0"/>
          <w:i/>
          <w:color w:val="auto"/>
          <w:sz w:val="22"/>
        </w:rPr>
        <w:t>(examples include support person, hearing loop, dietary requirements)</w:t>
      </w:r>
    </w:p>
    <w:p w14:paraId="576D03C8" w14:textId="77777777" w:rsidR="007B1118" w:rsidRDefault="007B1118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0C36EED2" w14:textId="77777777" w:rsidR="00A83487" w:rsidRDefault="00A83487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</w:p>
    <w:p w14:paraId="327495A1" w14:textId="77777777" w:rsidR="007B1118" w:rsidRPr="00567FA9" w:rsidRDefault="00553171" w:rsidP="009D66F5">
      <w:pPr>
        <w:pStyle w:val="StaffH1"/>
        <w:rPr>
          <w:rFonts w:asciiTheme="minorHAnsi" w:hAnsiTheme="minorHAnsi" w:cstheme="minorHAnsi"/>
          <w:i/>
          <w:sz w:val="22"/>
        </w:rPr>
      </w:pPr>
      <w:r w:rsidRPr="00567FA9">
        <w:rPr>
          <w:rFonts w:asciiTheme="minorHAnsi" w:hAnsiTheme="minorHAnsi" w:cstheme="minorHAnsi"/>
          <w:i/>
          <w:sz w:val="22"/>
        </w:rPr>
        <w:t>Your responses to the following questions only need to be a brief sentence or two</w:t>
      </w:r>
    </w:p>
    <w:p w14:paraId="3D9D02D4" w14:textId="2C64461A" w:rsidR="00553171" w:rsidRPr="00567FA9" w:rsidRDefault="0075352C" w:rsidP="00314C66">
      <w:pPr>
        <w:pStyle w:val="StaffH1"/>
        <w:numPr>
          <w:ilvl w:val="0"/>
          <w:numId w:val="12"/>
        </w:numPr>
        <w:rPr>
          <w:rFonts w:asciiTheme="minorHAnsi" w:hAnsiTheme="minorHAnsi" w:cstheme="minorHAnsi"/>
          <w:b w:val="0"/>
          <w:i/>
          <w:color w:val="auto"/>
          <w:sz w:val="22"/>
        </w:rPr>
      </w:pPr>
      <w:r w:rsidRPr="0075352C">
        <w:rPr>
          <w:rFonts w:asciiTheme="minorHAnsi" w:hAnsiTheme="minorHAnsi" w:cstheme="minorHAnsi"/>
          <w:color w:val="auto"/>
          <w:sz w:val="22"/>
        </w:rPr>
        <w:t xml:space="preserve">Please </w:t>
      </w:r>
      <w:r>
        <w:rPr>
          <w:rFonts w:asciiTheme="minorHAnsi" w:hAnsiTheme="minorHAnsi" w:cstheme="minorHAnsi"/>
          <w:color w:val="auto"/>
          <w:sz w:val="22"/>
        </w:rPr>
        <w:t>describe your experience</w:t>
      </w:r>
      <w:r w:rsidRPr="0075352C">
        <w:rPr>
          <w:rFonts w:asciiTheme="minorHAnsi" w:hAnsiTheme="minorHAnsi" w:cstheme="minorHAnsi"/>
          <w:color w:val="auto"/>
          <w:sz w:val="22"/>
        </w:rPr>
        <w:t xml:space="preserve"> as a health consumer representative including committees, focus groups, surveys, governance roles, etc.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4B82417A" w14:textId="77777777" w:rsidR="00553171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Tip: </w:t>
      </w:r>
      <w:r w:rsidR="00553171"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Past consumer representative positions that have similar requirements to the opportunity </w:t>
      </w:r>
      <w:proofErr w:type="gramStart"/>
      <w:r w:rsidR="00553171"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>you’re</w:t>
      </w:r>
      <w:proofErr w:type="gramEnd"/>
      <w:r w:rsidR="00553171" w:rsidRPr="00567FA9"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  <w:t xml:space="preserve"> expressing interest in. Give an indication of how long each position was for, and any relevant highlights. </w:t>
      </w:r>
    </w:p>
    <w:p w14:paraId="5F16C394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0759F1F1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203C7572" w14:textId="77777777" w:rsidR="00553171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4A724C5D" w14:textId="77777777" w:rsidR="00AF4875" w:rsidRPr="00567FA9" w:rsidRDefault="00AF4875" w:rsidP="00553171">
      <w:pPr>
        <w:pStyle w:val="StaffH1"/>
        <w:rPr>
          <w:rFonts w:asciiTheme="minorHAnsi" w:hAnsiTheme="minorHAnsi" w:cstheme="minorHAnsi"/>
          <w:sz w:val="22"/>
        </w:rPr>
      </w:pPr>
    </w:p>
    <w:p w14:paraId="1DE85D3C" w14:textId="2FEA8783" w:rsidR="008012D5" w:rsidRPr="00480614" w:rsidRDefault="00AF4875" w:rsidP="00314C66">
      <w:pPr>
        <w:pStyle w:val="TableParagraph"/>
        <w:numPr>
          <w:ilvl w:val="0"/>
          <w:numId w:val="12"/>
        </w:numPr>
        <w:rPr>
          <w:rFonts w:asciiTheme="minorHAnsi" w:hAnsiTheme="minorHAnsi" w:cstheme="minorHAnsi"/>
          <w:b/>
          <w:i/>
          <w:color w:val="808080" w:themeColor="background1" w:themeShade="80"/>
        </w:rPr>
      </w:pPr>
      <w:r w:rsidRPr="00AF4875">
        <w:rPr>
          <w:b/>
        </w:rPr>
        <w:t>Please describe any connections you have to your community (e.g. networks, groups)</w:t>
      </w:r>
      <w:r w:rsidRPr="00567FA9">
        <w:rPr>
          <w:rFonts w:asciiTheme="minorHAnsi" w:hAnsiTheme="minorHAnsi" w:cstheme="minorHAnsi"/>
          <w:b/>
          <w:i/>
          <w:color w:val="808080" w:themeColor="background1" w:themeShade="80"/>
        </w:rPr>
        <w:t xml:space="preserve"> </w:t>
      </w:r>
      <w:r w:rsidR="008012D5" w:rsidRPr="00480614">
        <w:rPr>
          <w:rFonts w:asciiTheme="minorHAnsi" w:hAnsiTheme="minorHAnsi" w:cstheme="minorHAnsi"/>
          <w:i/>
          <w:color w:val="808080" w:themeColor="background1" w:themeShade="80"/>
        </w:rPr>
        <w:t xml:space="preserve">Tip: Think about how this relates to the role </w:t>
      </w:r>
      <w:proofErr w:type="gramStart"/>
      <w:r w:rsidR="008012D5" w:rsidRPr="00480614">
        <w:rPr>
          <w:rFonts w:asciiTheme="minorHAnsi" w:hAnsiTheme="minorHAnsi" w:cstheme="minorHAnsi"/>
          <w:i/>
          <w:color w:val="808080" w:themeColor="background1" w:themeShade="80"/>
        </w:rPr>
        <w:t>you’re</w:t>
      </w:r>
      <w:proofErr w:type="gramEnd"/>
      <w:r w:rsidR="008012D5" w:rsidRPr="00480614">
        <w:rPr>
          <w:rFonts w:asciiTheme="minorHAnsi" w:hAnsiTheme="minorHAnsi" w:cstheme="minorHAnsi"/>
          <w:i/>
          <w:color w:val="808080" w:themeColor="background1" w:themeShade="80"/>
        </w:rPr>
        <w:t xml:space="preserve"> applying for. </w:t>
      </w:r>
    </w:p>
    <w:p w14:paraId="764D8B47" w14:textId="77777777" w:rsidR="008012D5" w:rsidRPr="00567FA9" w:rsidRDefault="008012D5" w:rsidP="00553171">
      <w:pPr>
        <w:pStyle w:val="TableParagraph"/>
        <w:spacing w:before="118"/>
      </w:pPr>
    </w:p>
    <w:p w14:paraId="17E523BF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081EEBA1" w14:textId="77777777" w:rsidR="00314C66" w:rsidRPr="00567FA9" w:rsidRDefault="00314C66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6BEFB5BD" w14:textId="288D5A63" w:rsidR="00FD0A44" w:rsidRPr="00567FA9" w:rsidRDefault="00E82D04" w:rsidP="00314C66">
      <w:pPr>
        <w:pStyle w:val="StaffH1"/>
        <w:numPr>
          <w:ilvl w:val="0"/>
          <w:numId w:val="12"/>
        </w:numPr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  <w:r w:rsidRPr="00E82D04">
        <w:rPr>
          <w:rFonts w:asciiTheme="minorHAnsi" w:hAnsiTheme="minorHAnsi" w:cstheme="minorHAnsi"/>
          <w:color w:val="auto"/>
          <w:sz w:val="22"/>
        </w:rPr>
        <w:t>Please</w:t>
      </w:r>
      <w:r w:rsidR="008D79A5">
        <w:rPr>
          <w:rFonts w:asciiTheme="minorHAnsi" w:hAnsiTheme="minorHAnsi" w:cstheme="minorHAnsi"/>
          <w:color w:val="auto"/>
          <w:sz w:val="22"/>
        </w:rPr>
        <w:t xml:space="preserve"> tick the reference group you would like to join and</w:t>
      </w:r>
      <w:r w:rsidRPr="00E82D04">
        <w:rPr>
          <w:rFonts w:asciiTheme="minorHAnsi" w:hAnsiTheme="minorHAnsi" w:cstheme="minorHAnsi"/>
          <w:color w:val="auto"/>
          <w:sz w:val="22"/>
        </w:rPr>
        <w:t xml:space="preserve"> describe your interest in </w:t>
      </w:r>
      <w:r w:rsidR="00A82A70">
        <w:rPr>
          <w:rFonts w:asciiTheme="minorHAnsi" w:hAnsiTheme="minorHAnsi" w:cstheme="minorHAnsi"/>
          <w:color w:val="auto"/>
          <w:sz w:val="22"/>
        </w:rPr>
        <w:t xml:space="preserve">joining the MHAOD Digital </w:t>
      </w:r>
      <w:r w:rsidR="008D79A5">
        <w:rPr>
          <w:rFonts w:asciiTheme="minorHAnsi" w:hAnsiTheme="minorHAnsi" w:cstheme="minorHAnsi"/>
          <w:color w:val="auto"/>
          <w:sz w:val="22"/>
        </w:rPr>
        <w:t xml:space="preserve">Information Strategy </w:t>
      </w:r>
      <w:r w:rsidR="00A82A70">
        <w:rPr>
          <w:rFonts w:asciiTheme="minorHAnsi" w:hAnsiTheme="minorHAnsi" w:cstheme="minorHAnsi"/>
          <w:color w:val="auto"/>
          <w:sz w:val="22"/>
        </w:rPr>
        <w:t>Reference Group</w:t>
      </w:r>
      <w:r w:rsidR="00E122A0">
        <w:rPr>
          <w:rFonts w:asciiTheme="minorHAnsi" w:hAnsiTheme="minorHAnsi" w:cstheme="minorHAnsi"/>
          <w:color w:val="auto"/>
          <w:sz w:val="22"/>
        </w:rPr>
        <w:t>s</w:t>
      </w:r>
      <w:r w:rsidR="00A82A70">
        <w:rPr>
          <w:rFonts w:asciiTheme="minorHAnsi" w:hAnsiTheme="minorHAnsi" w:cstheme="minorHAnsi"/>
          <w:color w:val="auto"/>
          <w:sz w:val="22"/>
        </w:rPr>
        <w:t>?</w:t>
      </w:r>
    </w:p>
    <w:p w14:paraId="2D72E931" w14:textId="39CE9189" w:rsidR="008D79A5" w:rsidRPr="00740D6F" w:rsidRDefault="008D79A5" w:rsidP="00F168C5">
      <w:pPr>
        <w:pStyle w:val="StaffH1"/>
        <w:numPr>
          <w:ilvl w:val="0"/>
          <w:numId w:val="11"/>
        </w:numPr>
        <w:rPr>
          <w:rFonts w:asciiTheme="minorHAnsi" w:hAnsiTheme="minorHAnsi" w:cstheme="minorHAnsi"/>
          <w:b w:val="0"/>
          <w:iCs/>
          <w:color w:val="auto"/>
          <w:sz w:val="22"/>
        </w:rPr>
      </w:pPr>
      <w:r w:rsidRPr="00740D6F">
        <w:rPr>
          <w:rFonts w:asciiTheme="minorHAnsi" w:hAnsiTheme="minorHAnsi" w:cstheme="minorHAnsi"/>
          <w:b w:val="0"/>
          <w:iCs/>
          <w:color w:val="auto"/>
          <w:sz w:val="22"/>
        </w:rPr>
        <w:t xml:space="preserve">Acute and Crisis Care </w:t>
      </w:r>
    </w:p>
    <w:p w14:paraId="62948A04" w14:textId="77777777" w:rsidR="008D79A5" w:rsidRPr="00740D6F" w:rsidRDefault="008D79A5" w:rsidP="00F168C5">
      <w:pPr>
        <w:pStyle w:val="StaffH1"/>
        <w:numPr>
          <w:ilvl w:val="0"/>
          <w:numId w:val="11"/>
        </w:numPr>
        <w:rPr>
          <w:rFonts w:asciiTheme="minorHAnsi" w:hAnsiTheme="minorHAnsi" w:cstheme="minorHAnsi"/>
          <w:b w:val="0"/>
          <w:iCs/>
          <w:color w:val="auto"/>
          <w:sz w:val="22"/>
        </w:rPr>
      </w:pPr>
      <w:r w:rsidRPr="00740D6F">
        <w:rPr>
          <w:rFonts w:asciiTheme="minorHAnsi" w:hAnsiTheme="minorHAnsi" w:cstheme="minorHAnsi"/>
          <w:b w:val="0"/>
          <w:iCs/>
          <w:color w:val="auto"/>
          <w:sz w:val="22"/>
        </w:rPr>
        <w:t xml:space="preserve">Secure and Diversion Care </w:t>
      </w:r>
    </w:p>
    <w:p w14:paraId="4AD73C15" w14:textId="6481CCA4" w:rsidR="008D79A5" w:rsidRPr="00740D6F" w:rsidRDefault="008D79A5" w:rsidP="00F168C5">
      <w:pPr>
        <w:pStyle w:val="StaffH1"/>
        <w:numPr>
          <w:ilvl w:val="0"/>
          <w:numId w:val="11"/>
        </w:numPr>
        <w:rPr>
          <w:rFonts w:asciiTheme="minorHAnsi" w:hAnsiTheme="minorHAnsi" w:cstheme="minorHAnsi"/>
          <w:b w:val="0"/>
          <w:iCs/>
          <w:color w:val="auto"/>
          <w:sz w:val="22"/>
        </w:rPr>
      </w:pPr>
      <w:r w:rsidRPr="00740D6F">
        <w:rPr>
          <w:rFonts w:asciiTheme="minorHAnsi" w:hAnsiTheme="minorHAnsi" w:cstheme="minorHAnsi"/>
          <w:b w:val="0"/>
          <w:iCs/>
          <w:color w:val="auto"/>
          <w:sz w:val="22"/>
        </w:rPr>
        <w:t xml:space="preserve">Community Bed-based (Residential) Care </w:t>
      </w:r>
    </w:p>
    <w:p w14:paraId="661BF8F6" w14:textId="29431C3C" w:rsidR="00FD0A44" w:rsidRPr="00740D6F" w:rsidRDefault="008D79A5" w:rsidP="00F168C5">
      <w:pPr>
        <w:pStyle w:val="StaffH1"/>
        <w:numPr>
          <w:ilvl w:val="0"/>
          <w:numId w:val="11"/>
        </w:numPr>
        <w:rPr>
          <w:rFonts w:asciiTheme="minorHAnsi" w:hAnsiTheme="minorHAnsi" w:cstheme="minorHAnsi"/>
          <w:b w:val="0"/>
          <w:iCs/>
          <w:color w:val="auto"/>
          <w:sz w:val="22"/>
        </w:rPr>
      </w:pPr>
      <w:r w:rsidRPr="00740D6F">
        <w:rPr>
          <w:rFonts w:asciiTheme="minorHAnsi" w:hAnsiTheme="minorHAnsi" w:cstheme="minorHAnsi"/>
          <w:b w:val="0"/>
          <w:iCs/>
          <w:color w:val="auto"/>
          <w:sz w:val="22"/>
        </w:rPr>
        <w:t xml:space="preserve">Community Care </w:t>
      </w:r>
    </w:p>
    <w:p w14:paraId="002CBB1B" w14:textId="4F12A524" w:rsidR="00A82A70" w:rsidRDefault="00A82A7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195647F9" w14:textId="1E13E0EB" w:rsidR="00A82A70" w:rsidRDefault="00A82A7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7BA85974" w14:textId="047CBF4A" w:rsidR="00A82A70" w:rsidRDefault="00A82A7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40C32F02" w14:textId="77777777" w:rsidR="00A82A70" w:rsidRPr="00567FA9" w:rsidRDefault="00A82A70" w:rsidP="00FD0A44">
      <w:pPr>
        <w:pStyle w:val="StaffH1"/>
        <w:rPr>
          <w:rFonts w:asciiTheme="minorHAnsi" w:hAnsiTheme="minorHAnsi" w:cstheme="minorHAnsi"/>
          <w:b w:val="0"/>
          <w:i/>
          <w:color w:val="808080" w:themeColor="background1" w:themeShade="80"/>
          <w:sz w:val="22"/>
        </w:rPr>
      </w:pPr>
    </w:p>
    <w:p w14:paraId="5A2AE562" w14:textId="6CE46916" w:rsidR="00FD0A44" w:rsidRPr="00B83F53" w:rsidRDefault="002D04F0" w:rsidP="00FD0A44">
      <w:pPr>
        <w:pStyle w:val="StaffH1"/>
        <w:rPr>
          <w:rFonts w:asciiTheme="minorHAnsi" w:hAnsiTheme="minorHAnsi" w:cstheme="minorHAnsi"/>
          <w:bCs/>
          <w:i/>
          <w:color w:val="auto"/>
          <w:sz w:val="22"/>
        </w:rPr>
      </w:pPr>
      <w:r w:rsidRPr="00B83F53">
        <w:rPr>
          <w:rFonts w:asciiTheme="minorHAnsi" w:hAnsiTheme="minorHAnsi" w:cstheme="minorHAnsi"/>
          <w:bCs/>
          <w:i/>
          <w:color w:val="auto"/>
          <w:sz w:val="22"/>
        </w:rPr>
        <w:t xml:space="preserve">Referee Section </w:t>
      </w:r>
    </w:p>
    <w:p w14:paraId="3AAECFA5" w14:textId="77777777" w:rsidR="00FD0A44" w:rsidRPr="00567FA9" w:rsidRDefault="00FD0A44" w:rsidP="00FD0A44">
      <w:pPr>
        <w:pStyle w:val="StaffH1"/>
        <w:numPr>
          <w:ilvl w:val="0"/>
          <w:numId w:val="6"/>
        </w:numPr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Please provide contact details for a staff member from a health service or department you are currently partnering with. (we will advise if you are shortlisted before we contact your referee).</w:t>
      </w:r>
    </w:p>
    <w:p w14:paraId="5F60CE1F" w14:textId="77777777" w:rsidR="00B01FEF" w:rsidRDefault="00B01FEF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</w:p>
    <w:p w14:paraId="1FD06BA8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Full name: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19BED131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Staff Role: </w:t>
      </w:r>
    </w:p>
    <w:p w14:paraId="486C1161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Partnering Activity (eg. Committee Chair):</w:t>
      </w:r>
    </w:p>
    <w:p w14:paraId="74E38223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Organisation:</w:t>
      </w:r>
    </w:p>
    <w:p w14:paraId="570478FE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Phone number: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ab/>
      </w:r>
    </w:p>
    <w:p w14:paraId="61A280E9" w14:textId="77777777" w:rsidR="00FD0A44" w:rsidRPr="00567FA9" w:rsidRDefault="00FD0A44" w:rsidP="00FD0A44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Email:</w:t>
      </w:r>
    </w:p>
    <w:p w14:paraId="32386647" w14:textId="77777777" w:rsidR="008012D5" w:rsidRPr="000504A0" w:rsidRDefault="00FD0A44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Applicant Role:</w:t>
      </w:r>
    </w:p>
    <w:sectPr w:rsidR="008012D5" w:rsidRPr="000504A0" w:rsidSect="007B1118"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51CDB" w14:textId="77777777" w:rsidR="00562030" w:rsidRDefault="00562030" w:rsidP="007B1118">
      <w:pPr>
        <w:spacing w:after="0" w:line="240" w:lineRule="auto"/>
      </w:pPr>
      <w:r>
        <w:separator/>
      </w:r>
    </w:p>
  </w:endnote>
  <w:endnote w:type="continuationSeparator" w:id="0">
    <w:p w14:paraId="21E8A798" w14:textId="77777777" w:rsidR="00562030" w:rsidRDefault="00562030" w:rsidP="007B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E8890" w14:textId="77777777" w:rsidR="00420BEF" w:rsidRDefault="00420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87E54" w14:textId="77777777"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13049A" w14:textId="77777777" w:rsidR="007B1118" w:rsidRDefault="007B1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176B1" w14:textId="77777777" w:rsidR="00420BEF" w:rsidRDefault="00420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D45AD" w14:textId="77777777" w:rsidR="00562030" w:rsidRDefault="00562030" w:rsidP="007B1118">
      <w:pPr>
        <w:spacing w:after="0" w:line="240" w:lineRule="auto"/>
      </w:pPr>
      <w:r>
        <w:separator/>
      </w:r>
    </w:p>
  </w:footnote>
  <w:footnote w:type="continuationSeparator" w:id="0">
    <w:p w14:paraId="1D8B4EDE" w14:textId="77777777" w:rsidR="00562030" w:rsidRDefault="00562030" w:rsidP="007B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CD987" w14:textId="77777777" w:rsidR="00420BEF" w:rsidRDefault="00420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7B1118" w:rsidRPr="007B1118" w14:paraId="5A0C95EC" w14:textId="77777777" w:rsidTr="007B1118">
      <w:trPr>
        <w:trHeight w:val="20"/>
      </w:trPr>
      <w:tc>
        <w:tcPr>
          <w:tcW w:w="12191" w:type="dxa"/>
          <w:gridSpan w:val="5"/>
          <w:tcBorders>
            <w:top w:val="single" w:sz="4" w:space="0" w:color="FFFFFF"/>
            <w:bottom w:val="nil"/>
            <w:right w:val="nil"/>
          </w:tcBorders>
          <w:shd w:val="clear" w:color="auto" w:fill="650030"/>
        </w:tcPr>
        <w:p w14:paraId="0047B58D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7E0AEF5E" w14:textId="77777777" w:rsidTr="007B1118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14:paraId="2FE06550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14:paraId="4E9B8979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14:paraId="3FF5D7E0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14:paraId="55677BF3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7F25C10B" w14:textId="77777777" w:rsidTr="007B1118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048DDE0A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 w:rsidRPr="007B1118">
            <w:rPr>
              <w:rFonts w:ascii="Calibri" w:eastAsia="Calibri" w:hAnsi="Calibri" w:cs="Times New Roman"/>
              <w:noProof/>
              <w:lang w:eastAsia="en-AU"/>
            </w:rPr>
            <w:drawing>
              <wp:inline distT="0" distB="0" distL="0" distR="0" wp14:anchorId="3085E5C3" wp14:editId="1BCC3E49">
                <wp:extent cx="1993900" cy="503460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CQ_logo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911" cy="51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518BE6E5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14:paraId="666BCBBD" w14:textId="7C1AEAFF" w:rsidR="007B1118" w:rsidRPr="007B1118" w:rsidRDefault="007B1118" w:rsidP="007B1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96DFD" w14:textId="77777777" w:rsidR="00420BEF" w:rsidRDefault="00420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0458"/>
    <w:multiLevelType w:val="hybridMultilevel"/>
    <w:tmpl w:val="2A2086DC"/>
    <w:lvl w:ilvl="0" w:tplc="09E02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7495"/>
    <w:multiLevelType w:val="hybridMultilevel"/>
    <w:tmpl w:val="7E1A254E"/>
    <w:lvl w:ilvl="0" w:tplc="82E860B0">
      <w:start w:val="1"/>
      <w:numFmt w:val="decimal"/>
      <w:lvlText w:val="%1."/>
      <w:lvlJc w:val="left"/>
      <w:pPr>
        <w:ind w:left="772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39D96AC6"/>
    <w:multiLevelType w:val="hybridMultilevel"/>
    <w:tmpl w:val="05FAAA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5" w15:restartNumberingAfterBreak="0">
    <w:nsid w:val="46E871BE"/>
    <w:multiLevelType w:val="hybridMultilevel"/>
    <w:tmpl w:val="C0A88D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27BA1"/>
    <w:multiLevelType w:val="hybridMultilevel"/>
    <w:tmpl w:val="488ED7B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141E8"/>
    <w:multiLevelType w:val="hybridMultilevel"/>
    <w:tmpl w:val="386CE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D344D"/>
    <w:multiLevelType w:val="hybridMultilevel"/>
    <w:tmpl w:val="717E5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30"/>
    <w:rsid w:val="000504A0"/>
    <w:rsid w:val="00067FDB"/>
    <w:rsid w:val="000A1C45"/>
    <w:rsid w:val="000A6D5A"/>
    <w:rsid w:val="0011708E"/>
    <w:rsid w:val="0018757C"/>
    <w:rsid w:val="001A491C"/>
    <w:rsid w:val="001E0F8C"/>
    <w:rsid w:val="002D04F0"/>
    <w:rsid w:val="00314C66"/>
    <w:rsid w:val="00341D41"/>
    <w:rsid w:val="003C24D3"/>
    <w:rsid w:val="003F4436"/>
    <w:rsid w:val="00420BEF"/>
    <w:rsid w:val="00441807"/>
    <w:rsid w:val="00470534"/>
    <w:rsid w:val="00470EE3"/>
    <w:rsid w:val="00475D15"/>
    <w:rsid w:val="00480614"/>
    <w:rsid w:val="00493227"/>
    <w:rsid w:val="004F2068"/>
    <w:rsid w:val="00525CBB"/>
    <w:rsid w:val="00537C4D"/>
    <w:rsid w:val="00553171"/>
    <w:rsid w:val="00562030"/>
    <w:rsid w:val="00567FA9"/>
    <w:rsid w:val="005A08BE"/>
    <w:rsid w:val="005A38C5"/>
    <w:rsid w:val="005B42FD"/>
    <w:rsid w:val="005C728F"/>
    <w:rsid w:val="005D3A12"/>
    <w:rsid w:val="005D726A"/>
    <w:rsid w:val="00614F18"/>
    <w:rsid w:val="00637B66"/>
    <w:rsid w:val="00715183"/>
    <w:rsid w:val="00740D6F"/>
    <w:rsid w:val="0075352C"/>
    <w:rsid w:val="00756416"/>
    <w:rsid w:val="007A67B5"/>
    <w:rsid w:val="007B1118"/>
    <w:rsid w:val="007B26B5"/>
    <w:rsid w:val="007B7AC0"/>
    <w:rsid w:val="007E2D3C"/>
    <w:rsid w:val="008012D5"/>
    <w:rsid w:val="00885EEB"/>
    <w:rsid w:val="008A305B"/>
    <w:rsid w:val="008A7949"/>
    <w:rsid w:val="008C3230"/>
    <w:rsid w:val="008D79A5"/>
    <w:rsid w:val="0093681A"/>
    <w:rsid w:val="00947678"/>
    <w:rsid w:val="00953EBE"/>
    <w:rsid w:val="00996C71"/>
    <w:rsid w:val="009C116A"/>
    <w:rsid w:val="009D66F5"/>
    <w:rsid w:val="00A81131"/>
    <w:rsid w:val="00A82A70"/>
    <w:rsid w:val="00A83487"/>
    <w:rsid w:val="00AA4B3C"/>
    <w:rsid w:val="00AD5F28"/>
    <w:rsid w:val="00AD7DF8"/>
    <w:rsid w:val="00AF4875"/>
    <w:rsid w:val="00B01FEF"/>
    <w:rsid w:val="00B75112"/>
    <w:rsid w:val="00B83F53"/>
    <w:rsid w:val="00B85A22"/>
    <w:rsid w:val="00B90E50"/>
    <w:rsid w:val="00BC4847"/>
    <w:rsid w:val="00BE64FB"/>
    <w:rsid w:val="00C10437"/>
    <w:rsid w:val="00C532E7"/>
    <w:rsid w:val="00C95682"/>
    <w:rsid w:val="00CF307C"/>
    <w:rsid w:val="00D32794"/>
    <w:rsid w:val="00D7586C"/>
    <w:rsid w:val="00DB3A31"/>
    <w:rsid w:val="00E04855"/>
    <w:rsid w:val="00E122A0"/>
    <w:rsid w:val="00E82D04"/>
    <w:rsid w:val="00F168C5"/>
    <w:rsid w:val="00F33C39"/>
    <w:rsid w:val="00F56AC5"/>
    <w:rsid w:val="00FD0A44"/>
    <w:rsid w:val="00FD3AAD"/>
    <w:rsid w:val="00FD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E506D"/>
  <w15:chartTrackingRefBased/>
  <w15:docId w15:val="{D5FA56EA-3C29-405A-9845-2EC134E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paragraph" w:customStyle="1" w:styleId="Default">
    <w:name w:val="Default"/>
    <w:rsid w:val="001E0F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6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4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4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4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9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8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2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umer@hcq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umer@hcq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hcq.org.au/wp-content/uploads/2015/12/Consumer-Remuneration-Rates-Dec-2015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2" ma:contentTypeDescription="Create a new document." ma:contentTypeScope="" ma:versionID="258ad1543e64607d5a29f2f807f37037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77008dfef244529cd3b0831d83b3adf2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6BBDF3-55D2-4248-95FA-05FE84C31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132-467c-41f6-9969-f0c1c8cfc3d1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E7EE5-250A-4E01-9366-3DC973121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DF0E37-B947-4FEB-80E8-0CF8514BB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Chelsea Gourgaud</cp:lastModifiedBy>
  <cp:revision>3</cp:revision>
  <dcterms:created xsi:type="dcterms:W3CDTF">2020-11-12T00:29:00Z</dcterms:created>
  <dcterms:modified xsi:type="dcterms:W3CDTF">2020-11-12T00:29:00Z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</Properties>
</file>