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D6429" w14:textId="77777777" w:rsidR="00CF1F29" w:rsidRDefault="00CF1F29" w:rsidP="00CF1F29">
      <w:pPr>
        <w:pStyle w:val="Heading3"/>
        <w:spacing w:line="240" w:lineRule="auto"/>
        <w:rPr>
          <w:color w:val="009297"/>
        </w:rPr>
      </w:pPr>
      <w:r>
        <w:rPr>
          <w:noProof/>
          <w:lang w:eastAsia="en-AU"/>
        </w:rPr>
        <w:drawing>
          <wp:anchor distT="0" distB="0" distL="114300" distR="114300" simplePos="0" relativeHeight="251659264" behindDoc="1" locked="0" layoutInCell="1" allowOverlap="1" wp14:anchorId="39C45489" wp14:editId="3BEBDA98">
            <wp:simplePos x="0" y="0"/>
            <wp:positionH relativeFrom="margin">
              <wp:posOffset>-28575</wp:posOffset>
            </wp:positionH>
            <wp:positionV relativeFrom="paragraph">
              <wp:posOffset>0</wp:posOffset>
            </wp:positionV>
            <wp:extent cx="1828800" cy="445135"/>
            <wp:effectExtent l="0" t="0" r="0" b="0"/>
            <wp:wrapTight wrapText="bothSides">
              <wp:wrapPolygon edited="0">
                <wp:start x="0" y="0"/>
                <wp:lineTo x="0" y="20337"/>
                <wp:lineTo x="21375" y="20337"/>
                <wp:lineTo x="213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445135"/>
                    </a:xfrm>
                    <a:prstGeom prst="rect">
                      <a:avLst/>
                    </a:prstGeom>
                  </pic:spPr>
                </pic:pic>
              </a:graphicData>
            </a:graphic>
            <wp14:sizeRelH relativeFrom="page">
              <wp14:pctWidth>0</wp14:pctWidth>
            </wp14:sizeRelH>
            <wp14:sizeRelV relativeFrom="page">
              <wp14:pctHeight>0</wp14:pctHeight>
            </wp14:sizeRelV>
          </wp:anchor>
        </w:drawing>
      </w:r>
    </w:p>
    <w:p w14:paraId="1E205C34" w14:textId="77777777" w:rsidR="00CF1F29" w:rsidRDefault="00CF1F29" w:rsidP="00CF1F29">
      <w:pPr>
        <w:rPr>
          <w:rFonts w:eastAsiaTheme="majorEastAsia" w:hAnsi="Calibri" w:cs="Arial"/>
          <w:b/>
          <w:bCs/>
          <w:color w:val="F69731"/>
          <w:kern w:val="24"/>
          <w:sz w:val="32"/>
          <w:szCs w:val="32"/>
        </w:rPr>
      </w:pPr>
    </w:p>
    <w:p w14:paraId="5DA9EF7D" w14:textId="5A5505A5" w:rsidR="00164735" w:rsidRPr="000047A3" w:rsidRDefault="008176F8" w:rsidP="00CD4060">
      <w:pPr>
        <w:jc w:val="center"/>
        <w:rPr>
          <w:b/>
          <w:bCs/>
          <w:sz w:val="28"/>
          <w:szCs w:val="28"/>
          <w:lang w:val="en-US"/>
        </w:rPr>
      </w:pPr>
      <w:r w:rsidRPr="008176F8">
        <w:rPr>
          <w:b/>
          <w:bCs/>
          <w:sz w:val="32"/>
          <w:szCs w:val="32"/>
          <w:lang w:val="en-US"/>
        </w:rPr>
        <w:t>Supporting your consumer representative</w:t>
      </w:r>
      <w:r>
        <w:rPr>
          <w:b/>
          <w:bCs/>
          <w:sz w:val="32"/>
          <w:szCs w:val="32"/>
          <w:lang w:val="en-US"/>
        </w:rPr>
        <w:t>(s)</w:t>
      </w:r>
    </w:p>
    <w:p w14:paraId="78413922" w14:textId="0F72468C" w:rsidR="005E30E8" w:rsidRDefault="00A7690D" w:rsidP="00D152DD">
      <w:pPr>
        <w:rPr>
          <w:rFonts w:cstheme="minorHAnsi"/>
          <w:b/>
        </w:rPr>
      </w:pPr>
      <w:r>
        <w:rPr>
          <w:rFonts w:cstheme="minorHAnsi"/>
          <w:b/>
        </w:rPr>
        <w:t xml:space="preserve">This information is </w:t>
      </w:r>
      <w:r w:rsidR="00925522">
        <w:rPr>
          <w:rFonts w:cstheme="minorHAnsi"/>
          <w:b/>
        </w:rPr>
        <w:t>specific to</w:t>
      </w:r>
      <w:r w:rsidR="00085D60">
        <w:rPr>
          <w:rFonts w:cstheme="minorHAnsi"/>
          <w:b/>
        </w:rPr>
        <w:t xml:space="preserve"> committee </w:t>
      </w:r>
      <w:r w:rsidR="00925522">
        <w:rPr>
          <w:rFonts w:cstheme="minorHAnsi"/>
          <w:b/>
        </w:rPr>
        <w:t xml:space="preserve">type </w:t>
      </w:r>
      <w:r w:rsidR="00085D60">
        <w:rPr>
          <w:rFonts w:cstheme="minorHAnsi"/>
          <w:b/>
        </w:rPr>
        <w:t xml:space="preserve">work; </w:t>
      </w:r>
      <w:r w:rsidR="009013CD">
        <w:rPr>
          <w:rFonts w:cstheme="minorHAnsi"/>
          <w:b/>
        </w:rPr>
        <w:t>however,</w:t>
      </w:r>
      <w:r w:rsidR="00085D60">
        <w:rPr>
          <w:rFonts w:cstheme="minorHAnsi"/>
          <w:b/>
        </w:rPr>
        <w:t xml:space="preserve"> it can apply to any engagement method you are using</w:t>
      </w:r>
      <w:r w:rsidR="009013CD">
        <w:rPr>
          <w:rFonts w:cstheme="minorHAnsi"/>
          <w:b/>
        </w:rPr>
        <w:t xml:space="preserve"> to partner with consumers</w:t>
      </w:r>
      <w:r w:rsidR="00085D60">
        <w:rPr>
          <w:rFonts w:cstheme="minorHAnsi"/>
          <w:b/>
        </w:rPr>
        <w:t xml:space="preserve">. For </w:t>
      </w:r>
      <w:r w:rsidR="009013CD">
        <w:rPr>
          <w:rFonts w:cstheme="minorHAnsi"/>
          <w:b/>
        </w:rPr>
        <w:t>example,</w:t>
      </w:r>
      <w:r w:rsidR="00085D60">
        <w:rPr>
          <w:rFonts w:cstheme="minorHAnsi"/>
          <w:b/>
        </w:rPr>
        <w:t xml:space="preserve"> </w:t>
      </w:r>
      <w:r w:rsidR="009013CD">
        <w:rPr>
          <w:rFonts w:cstheme="minorHAnsi"/>
          <w:b/>
        </w:rPr>
        <w:t xml:space="preserve">this information is relevant to </w:t>
      </w:r>
      <w:r w:rsidR="00085D60">
        <w:rPr>
          <w:rFonts w:cstheme="minorHAnsi"/>
          <w:b/>
        </w:rPr>
        <w:t>working groups, reference groups or a one</w:t>
      </w:r>
      <w:r w:rsidR="00B622EB">
        <w:rPr>
          <w:rFonts w:cstheme="minorHAnsi"/>
          <w:b/>
        </w:rPr>
        <w:t>-</w:t>
      </w:r>
      <w:r w:rsidR="00085D60">
        <w:rPr>
          <w:rFonts w:cstheme="minorHAnsi"/>
          <w:b/>
        </w:rPr>
        <w:t xml:space="preserve">off focus group. </w:t>
      </w:r>
    </w:p>
    <w:p w14:paraId="54C2A2CD" w14:textId="687A0661" w:rsidR="00D152DD" w:rsidRPr="00D152DD" w:rsidRDefault="00D152DD" w:rsidP="00D152DD">
      <w:pPr>
        <w:rPr>
          <w:rFonts w:cstheme="minorHAnsi"/>
          <w:b/>
        </w:rPr>
      </w:pPr>
      <w:r w:rsidRPr="00D152DD">
        <w:rPr>
          <w:rFonts w:cstheme="minorHAnsi"/>
          <w:b/>
        </w:rPr>
        <w:t xml:space="preserve">Before the meeting </w:t>
      </w:r>
    </w:p>
    <w:p w14:paraId="271EFD9A" w14:textId="2F570499" w:rsidR="00DC4C3C" w:rsidRDefault="00DC4C3C" w:rsidP="005F48C9">
      <w:pPr>
        <w:pStyle w:val="ListParagraph"/>
        <w:numPr>
          <w:ilvl w:val="0"/>
          <w:numId w:val="17"/>
        </w:numPr>
        <w:rPr>
          <w:rFonts w:cstheme="minorHAnsi"/>
          <w:bCs/>
        </w:rPr>
      </w:pPr>
      <w:r>
        <w:rPr>
          <w:rFonts w:cstheme="minorHAnsi"/>
          <w:bCs/>
        </w:rPr>
        <w:t xml:space="preserve">The consumer representative is a member of your </w:t>
      </w:r>
      <w:r w:rsidR="00470759">
        <w:rPr>
          <w:rFonts w:cstheme="minorHAnsi"/>
          <w:bCs/>
        </w:rPr>
        <w:t>consumer activity</w:t>
      </w:r>
      <w:r>
        <w:rPr>
          <w:rFonts w:cstheme="minorHAnsi"/>
          <w:bCs/>
        </w:rPr>
        <w:t xml:space="preserve"> now. It’s important to communicate directly with them (not through Health Consumers Queensland). </w:t>
      </w:r>
    </w:p>
    <w:p w14:paraId="188433CA" w14:textId="77777777" w:rsidR="00DC4C3C" w:rsidRDefault="00DC4C3C" w:rsidP="00DC4C3C">
      <w:pPr>
        <w:pStyle w:val="ListParagraph"/>
        <w:rPr>
          <w:rFonts w:cstheme="minorHAnsi"/>
          <w:bCs/>
        </w:rPr>
      </w:pPr>
    </w:p>
    <w:p w14:paraId="24C6F253" w14:textId="3A8BFABD" w:rsidR="005F48C9" w:rsidRDefault="005F48C9" w:rsidP="005F48C9">
      <w:pPr>
        <w:pStyle w:val="ListParagraph"/>
        <w:numPr>
          <w:ilvl w:val="0"/>
          <w:numId w:val="17"/>
        </w:numPr>
        <w:rPr>
          <w:rFonts w:cstheme="minorHAnsi"/>
          <w:bCs/>
        </w:rPr>
      </w:pPr>
      <w:r w:rsidRPr="0084298A">
        <w:rPr>
          <w:rFonts w:cstheme="minorHAnsi"/>
          <w:bCs/>
        </w:rPr>
        <w:t xml:space="preserve">Email the consumer representative(s) with a copy of the Terms of Reference for the committee they are sitting on, previous minutes, meeting dates for the year and any background reading for the next meeting. Ask the consumer representative(s) how they would like to receive minutes/background reading (by email or by hard copy in the post). </w:t>
      </w:r>
    </w:p>
    <w:p w14:paraId="08D4F40D" w14:textId="77777777" w:rsidR="00BA42D9" w:rsidRDefault="00BA42D9" w:rsidP="00BA42D9">
      <w:pPr>
        <w:pStyle w:val="ListParagraph"/>
        <w:rPr>
          <w:rFonts w:cstheme="minorHAnsi"/>
          <w:bCs/>
        </w:rPr>
      </w:pPr>
    </w:p>
    <w:p w14:paraId="184C80C6" w14:textId="6A6A3DE2" w:rsidR="00BA42D9" w:rsidRPr="00BA42D9" w:rsidRDefault="00BA42D9" w:rsidP="00BA42D9">
      <w:pPr>
        <w:pStyle w:val="ListParagraph"/>
        <w:numPr>
          <w:ilvl w:val="0"/>
          <w:numId w:val="17"/>
        </w:numPr>
        <w:rPr>
          <w:rFonts w:cstheme="minorHAnsi"/>
          <w:bCs/>
        </w:rPr>
      </w:pPr>
      <w:r w:rsidRPr="00BA42D9">
        <w:rPr>
          <w:rFonts w:cstheme="minorHAnsi"/>
          <w:bCs/>
        </w:rPr>
        <w:t>Please provide lists of committee members with full details of their positions and not use</w:t>
      </w:r>
    </w:p>
    <w:p w14:paraId="49F4DB6F" w14:textId="77777777" w:rsidR="00BA42D9" w:rsidRPr="00BA42D9" w:rsidRDefault="00BA42D9" w:rsidP="00C97FBC">
      <w:pPr>
        <w:pStyle w:val="ListParagraph"/>
        <w:rPr>
          <w:rFonts w:cstheme="minorHAnsi"/>
          <w:bCs/>
        </w:rPr>
      </w:pPr>
      <w:r w:rsidRPr="00BA42D9">
        <w:rPr>
          <w:rFonts w:cstheme="minorHAnsi"/>
          <w:bCs/>
        </w:rPr>
        <w:t>acronyms. If using acronyms in meeting minutes or documentation, please provide a</w:t>
      </w:r>
    </w:p>
    <w:p w14:paraId="5193114E" w14:textId="77777777" w:rsidR="00BA42D9" w:rsidRPr="00BA42D9" w:rsidRDefault="00BA42D9" w:rsidP="00C97FBC">
      <w:pPr>
        <w:pStyle w:val="ListParagraph"/>
        <w:rPr>
          <w:rFonts w:cstheme="minorHAnsi"/>
          <w:bCs/>
        </w:rPr>
      </w:pPr>
      <w:r w:rsidRPr="00BA42D9">
        <w:rPr>
          <w:rFonts w:cstheme="minorHAnsi"/>
          <w:bCs/>
        </w:rPr>
        <w:t>glossary of terms for the consumers so they are able to keep up with the conversation and</w:t>
      </w:r>
    </w:p>
    <w:p w14:paraId="4A9CBB93" w14:textId="561AF53C" w:rsidR="00A63463" w:rsidRDefault="00BA42D9" w:rsidP="00A63463">
      <w:pPr>
        <w:pStyle w:val="ListParagraph"/>
        <w:rPr>
          <w:rFonts w:cstheme="minorHAnsi"/>
          <w:bCs/>
        </w:rPr>
      </w:pPr>
      <w:r w:rsidRPr="00BA42D9">
        <w:rPr>
          <w:rFonts w:cstheme="minorHAnsi"/>
          <w:bCs/>
        </w:rPr>
        <w:t>not have to stop to ask what the acronym relates to.</w:t>
      </w:r>
    </w:p>
    <w:p w14:paraId="633EF3E8" w14:textId="77777777" w:rsidR="00A63463" w:rsidRDefault="00A63463" w:rsidP="00A63463">
      <w:pPr>
        <w:pStyle w:val="ListParagraph"/>
        <w:rPr>
          <w:rFonts w:cstheme="minorHAnsi"/>
          <w:bCs/>
        </w:rPr>
      </w:pPr>
    </w:p>
    <w:p w14:paraId="359B97BA" w14:textId="1A0B9D42" w:rsidR="00A63463" w:rsidRPr="00A63463" w:rsidRDefault="00A63463" w:rsidP="00A63463">
      <w:pPr>
        <w:pStyle w:val="ListParagraph"/>
        <w:numPr>
          <w:ilvl w:val="0"/>
          <w:numId w:val="17"/>
        </w:numPr>
        <w:rPr>
          <w:rFonts w:cstheme="minorHAnsi"/>
          <w:bCs/>
        </w:rPr>
      </w:pPr>
      <w:r w:rsidRPr="00A63463">
        <w:rPr>
          <w:rFonts w:cstheme="minorHAnsi"/>
          <w:bCs/>
        </w:rPr>
        <w:t>Provide your consumer(s) with information on the proposed meeting timeline, length of</w:t>
      </w:r>
    </w:p>
    <w:p w14:paraId="0CA1C456" w14:textId="2244F565" w:rsidR="00A63463" w:rsidRDefault="00A63463" w:rsidP="00A63463">
      <w:pPr>
        <w:pStyle w:val="ListParagraph"/>
        <w:rPr>
          <w:rFonts w:cstheme="minorHAnsi"/>
          <w:bCs/>
        </w:rPr>
      </w:pPr>
      <w:r w:rsidRPr="00A63463">
        <w:rPr>
          <w:rFonts w:cstheme="minorHAnsi"/>
          <w:bCs/>
        </w:rPr>
        <w:t>meetings and completion date for the project so they can be prepared.</w:t>
      </w:r>
    </w:p>
    <w:p w14:paraId="4A86E734" w14:textId="77777777" w:rsidR="00612452" w:rsidRPr="0084298A" w:rsidRDefault="00612452" w:rsidP="00A63463">
      <w:pPr>
        <w:pStyle w:val="ListParagraph"/>
        <w:rPr>
          <w:rFonts w:cstheme="minorHAnsi"/>
          <w:bCs/>
        </w:rPr>
      </w:pPr>
    </w:p>
    <w:p w14:paraId="5E596039" w14:textId="77777777" w:rsidR="00612452" w:rsidRPr="00612452" w:rsidRDefault="00612452" w:rsidP="00612452">
      <w:pPr>
        <w:pStyle w:val="ListParagraph"/>
        <w:numPr>
          <w:ilvl w:val="0"/>
          <w:numId w:val="17"/>
        </w:numPr>
        <w:rPr>
          <w:rFonts w:cstheme="minorHAnsi"/>
          <w:bCs/>
        </w:rPr>
      </w:pPr>
      <w:r w:rsidRPr="00612452">
        <w:rPr>
          <w:rFonts w:cstheme="minorHAnsi"/>
          <w:bCs/>
        </w:rPr>
        <w:t>Check the consumer(s) is able to access the online meeting technology. For example, if using</w:t>
      </w:r>
    </w:p>
    <w:p w14:paraId="480A8A40" w14:textId="71226444" w:rsidR="00CE4E74" w:rsidRDefault="00612452" w:rsidP="00D152DD">
      <w:pPr>
        <w:pStyle w:val="ListParagraph"/>
        <w:rPr>
          <w:rFonts w:cstheme="minorHAnsi"/>
          <w:bCs/>
        </w:rPr>
      </w:pPr>
      <w:r w:rsidRPr="00612452">
        <w:rPr>
          <w:rFonts w:cstheme="minorHAnsi"/>
          <w:bCs/>
        </w:rPr>
        <w:t xml:space="preserve">Teams instead of Zoom. </w:t>
      </w:r>
      <w:r w:rsidR="009F4EBD">
        <w:rPr>
          <w:rFonts w:cstheme="minorHAnsi"/>
          <w:bCs/>
        </w:rPr>
        <w:t xml:space="preserve">Set up a meeting prior to </w:t>
      </w:r>
      <w:r w:rsidR="00CE4E74">
        <w:rPr>
          <w:rFonts w:cstheme="minorHAnsi"/>
          <w:bCs/>
        </w:rPr>
        <w:t xml:space="preserve">the first meeting </w:t>
      </w:r>
      <w:r w:rsidR="009F4EBD">
        <w:rPr>
          <w:rFonts w:cstheme="minorHAnsi"/>
          <w:bCs/>
        </w:rPr>
        <w:t>and run through any tech issues and support</w:t>
      </w:r>
      <w:r>
        <w:rPr>
          <w:rFonts w:cstheme="minorHAnsi"/>
          <w:bCs/>
        </w:rPr>
        <w:t xml:space="preserve">. </w:t>
      </w:r>
    </w:p>
    <w:p w14:paraId="4F6D79BE" w14:textId="35E43D60" w:rsidR="00F2513E" w:rsidRDefault="00F2513E" w:rsidP="00D152DD">
      <w:pPr>
        <w:pStyle w:val="ListParagraph"/>
        <w:rPr>
          <w:rFonts w:cstheme="minorHAnsi"/>
          <w:bCs/>
        </w:rPr>
      </w:pPr>
    </w:p>
    <w:p w14:paraId="31E24494" w14:textId="77777777" w:rsidR="00F2513E" w:rsidRPr="00F2513E" w:rsidRDefault="00F2513E" w:rsidP="00F2513E">
      <w:pPr>
        <w:pStyle w:val="ListParagraph"/>
        <w:numPr>
          <w:ilvl w:val="0"/>
          <w:numId w:val="17"/>
        </w:numPr>
        <w:rPr>
          <w:rFonts w:cstheme="minorHAnsi"/>
          <w:bCs/>
        </w:rPr>
      </w:pPr>
      <w:r w:rsidRPr="00F2513E">
        <w:rPr>
          <w:rFonts w:cstheme="minorHAnsi"/>
          <w:bCs/>
        </w:rPr>
        <w:t>It would be valuable to provide a pre-briefing to the consumer, so they are able to quickly</w:t>
      </w:r>
    </w:p>
    <w:p w14:paraId="506DBB01" w14:textId="77777777" w:rsidR="00F2513E" w:rsidRPr="00F2513E" w:rsidRDefault="00F2513E" w:rsidP="00F2513E">
      <w:pPr>
        <w:pStyle w:val="ListParagraph"/>
        <w:rPr>
          <w:rFonts w:cstheme="minorHAnsi"/>
          <w:bCs/>
        </w:rPr>
      </w:pPr>
      <w:r w:rsidRPr="00F2513E">
        <w:rPr>
          <w:rFonts w:cstheme="minorHAnsi"/>
          <w:bCs/>
        </w:rPr>
        <w:t>participate in the meeting. Arrange a meeting with the consumer prior to the first meeting</w:t>
      </w:r>
    </w:p>
    <w:p w14:paraId="7F6F9624" w14:textId="42A932B8" w:rsidR="00612452" w:rsidRDefault="00F2513E" w:rsidP="00AD2AF8">
      <w:pPr>
        <w:pStyle w:val="ListParagraph"/>
        <w:rPr>
          <w:rFonts w:cstheme="minorHAnsi"/>
          <w:bCs/>
        </w:rPr>
      </w:pPr>
      <w:r w:rsidRPr="00F2513E">
        <w:rPr>
          <w:rFonts w:cstheme="minorHAnsi"/>
          <w:bCs/>
        </w:rPr>
        <w:t>(even if it is 30 minutes before their first meeting).</w:t>
      </w:r>
    </w:p>
    <w:p w14:paraId="700B9C86" w14:textId="77777777" w:rsidR="00AD2AF8" w:rsidRPr="00AE6F22" w:rsidRDefault="00AD2AF8" w:rsidP="00AD2AF8">
      <w:pPr>
        <w:pStyle w:val="ListParagraph"/>
        <w:rPr>
          <w:rFonts w:cstheme="minorHAnsi"/>
          <w:bCs/>
        </w:rPr>
      </w:pPr>
    </w:p>
    <w:p w14:paraId="00BA64DA" w14:textId="7F3C6B36" w:rsidR="00BA46B4" w:rsidRDefault="005F48C9" w:rsidP="00D06B44">
      <w:pPr>
        <w:pStyle w:val="ListParagraph"/>
        <w:numPr>
          <w:ilvl w:val="0"/>
          <w:numId w:val="17"/>
        </w:numPr>
        <w:rPr>
          <w:rFonts w:cstheme="minorHAnsi"/>
          <w:bCs/>
        </w:rPr>
      </w:pPr>
      <w:r w:rsidRPr="0084298A">
        <w:rPr>
          <w:rFonts w:cstheme="minorHAnsi"/>
          <w:bCs/>
        </w:rPr>
        <w:t xml:space="preserve">Discuss the logistics of any forms, information you need from them including bank details, the process for remuneration and parking/travel. </w:t>
      </w:r>
    </w:p>
    <w:p w14:paraId="4BE9F8D8" w14:textId="77777777" w:rsidR="00D06B44" w:rsidRPr="00D06B44" w:rsidRDefault="00D06B44" w:rsidP="00D06B44">
      <w:pPr>
        <w:pStyle w:val="ListParagraph"/>
        <w:rPr>
          <w:rFonts w:cstheme="minorHAnsi"/>
          <w:bCs/>
        </w:rPr>
      </w:pPr>
    </w:p>
    <w:p w14:paraId="2C3BE737" w14:textId="77777777" w:rsidR="00BA46B4" w:rsidRDefault="00BA46B4" w:rsidP="00BA46B4">
      <w:pPr>
        <w:pStyle w:val="ListParagraph"/>
        <w:numPr>
          <w:ilvl w:val="0"/>
          <w:numId w:val="17"/>
        </w:numPr>
        <w:rPr>
          <w:rFonts w:cstheme="minorHAnsi"/>
          <w:bCs/>
        </w:rPr>
      </w:pPr>
      <w:r w:rsidRPr="00BA46B4">
        <w:rPr>
          <w:rFonts w:cstheme="minorHAnsi"/>
          <w:bCs/>
        </w:rPr>
        <w:t>Arrange a meeting with the Chairs of the committee prior to the consumer representatives’ first meeting (even if it is 30 minutes before their first meeting).</w:t>
      </w:r>
    </w:p>
    <w:p w14:paraId="112204D9" w14:textId="77777777" w:rsidR="00BA46B4" w:rsidRPr="00BA46B4" w:rsidRDefault="00BA46B4" w:rsidP="00BA46B4">
      <w:pPr>
        <w:pStyle w:val="ListParagraph"/>
        <w:rPr>
          <w:rFonts w:cstheme="minorHAnsi"/>
          <w:bCs/>
        </w:rPr>
      </w:pPr>
    </w:p>
    <w:p w14:paraId="149D56CB" w14:textId="203BABD6" w:rsidR="00D152DD" w:rsidRPr="00BA46B4" w:rsidRDefault="00BA46B4" w:rsidP="00BA46B4">
      <w:pPr>
        <w:pStyle w:val="ListParagraph"/>
        <w:numPr>
          <w:ilvl w:val="0"/>
          <w:numId w:val="17"/>
        </w:numPr>
        <w:rPr>
          <w:rFonts w:cstheme="minorHAnsi"/>
          <w:bCs/>
        </w:rPr>
      </w:pPr>
      <w:r w:rsidRPr="00BA46B4">
        <w:rPr>
          <w:rFonts w:cstheme="minorHAnsi"/>
          <w:bCs/>
        </w:rPr>
        <w:t>Identify a ‘go to’ person who can de-brief with the consumer representative following meetings, to clarify any terms or issues or the way that information is presented to the committee, hear and provide feedback to the consumer representative, and help trouble-shoot any difficulties they may be having (including administrative problems such as being paid, getting car parking sorted etc).</w:t>
      </w:r>
    </w:p>
    <w:p w14:paraId="4D13C553" w14:textId="77777777" w:rsidR="005C226E" w:rsidRDefault="005C226E" w:rsidP="00BA46B4">
      <w:pPr>
        <w:rPr>
          <w:rFonts w:cstheme="minorHAnsi"/>
          <w:b/>
        </w:rPr>
      </w:pPr>
    </w:p>
    <w:p w14:paraId="240A9757" w14:textId="045BB3F7" w:rsidR="00BA46B4" w:rsidRDefault="00AE6F22" w:rsidP="00BA46B4">
      <w:pPr>
        <w:rPr>
          <w:rFonts w:cstheme="minorHAnsi"/>
          <w:b/>
        </w:rPr>
      </w:pPr>
      <w:r w:rsidRPr="00AE6F22">
        <w:rPr>
          <w:rFonts w:cstheme="minorHAnsi"/>
          <w:b/>
        </w:rPr>
        <w:lastRenderedPageBreak/>
        <w:t>During the meeting</w:t>
      </w:r>
    </w:p>
    <w:p w14:paraId="71BA3288" w14:textId="53DCDC96" w:rsidR="00BA46B4" w:rsidRDefault="00BA46B4" w:rsidP="00BA46B4">
      <w:pPr>
        <w:pStyle w:val="ListParagraph"/>
        <w:numPr>
          <w:ilvl w:val="0"/>
          <w:numId w:val="20"/>
        </w:numPr>
        <w:rPr>
          <w:rFonts w:cstheme="minorHAnsi"/>
          <w:bCs/>
        </w:rPr>
      </w:pPr>
      <w:r w:rsidRPr="00BA46B4">
        <w:rPr>
          <w:rFonts w:cstheme="minorHAnsi"/>
          <w:bCs/>
        </w:rPr>
        <w:t>Ensure the Chair warmly welcomes them to the first meeting, introduces the consumer representatives to all the committee members and vice versa.</w:t>
      </w:r>
    </w:p>
    <w:p w14:paraId="5B075682" w14:textId="77777777" w:rsidR="00BA46B4" w:rsidRPr="00BA46B4" w:rsidRDefault="00BA46B4" w:rsidP="00BA46B4">
      <w:pPr>
        <w:pStyle w:val="ListParagraph"/>
        <w:rPr>
          <w:rFonts w:cstheme="minorHAnsi"/>
          <w:bCs/>
        </w:rPr>
      </w:pPr>
    </w:p>
    <w:p w14:paraId="42D61E2C" w14:textId="7DAE944A" w:rsidR="00AE6F22" w:rsidRDefault="00AE6F22" w:rsidP="00AE6F22">
      <w:pPr>
        <w:pStyle w:val="ListParagraph"/>
        <w:numPr>
          <w:ilvl w:val="0"/>
          <w:numId w:val="19"/>
        </w:numPr>
        <w:rPr>
          <w:rFonts w:cstheme="minorHAnsi"/>
          <w:bCs/>
        </w:rPr>
      </w:pPr>
      <w:r w:rsidRPr="00AE6F22">
        <w:rPr>
          <w:rFonts w:cstheme="minorHAnsi"/>
          <w:bCs/>
        </w:rPr>
        <w:t>Demonstrate the value of consumer perspective to the committee, and that the Chair and other committee members understand the need for consumer representation.</w:t>
      </w:r>
    </w:p>
    <w:p w14:paraId="2D7BD0C0" w14:textId="77777777" w:rsidR="00BA46B4" w:rsidRPr="00BA46B4" w:rsidRDefault="00BA46B4" w:rsidP="00BA46B4">
      <w:pPr>
        <w:pStyle w:val="ListParagraph"/>
        <w:rPr>
          <w:rFonts w:cstheme="minorHAnsi"/>
          <w:bCs/>
        </w:rPr>
      </w:pPr>
    </w:p>
    <w:p w14:paraId="7CF2FDEF" w14:textId="77777777" w:rsidR="00D97744" w:rsidRDefault="00AE6F22" w:rsidP="00D97744">
      <w:pPr>
        <w:pStyle w:val="ListParagraph"/>
        <w:numPr>
          <w:ilvl w:val="0"/>
          <w:numId w:val="19"/>
        </w:numPr>
        <w:rPr>
          <w:rFonts w:cstheme="minorHAnsi"/>
          <w:bCs/>
        </w:rPr>
      </w:pPr>
      <w:r w:rsidRPr="00AE6F22">
        <w:rPr>
          <w:rFonts w:cstheme="minorHAnsi"/>
          <w:bCs/>
        </w:rPr>
        <w:t>Let them know you will value their contributions that will serve to protect and raise the interests of health consumers, carers and their families. They may be sitting on a working group with mostly people with degrees, whereas the consumer is solely representing the views/experiences/lived experiences of those who use the health care system. You value and welcome that consumer perspective. You encourage them to speak up and promote the needs and preferences of consumers and their families.</w:t>
      </w:r>
    </w:p>
    <w:p w14:paraId="1104ACFE" w14:textId="77777777" w:rsidR="00D97744" w:rsidRPr="00D97744" w:rsidRDefault="00D97744" w:rsidP="00D97744">
      <w:pPr>
        <w:pStyle w:val="ListParagraph"/>
        <w:rPr>
          <w:rFonts w:cstheme="minorHAnsi"/>
          <w:bCs/>
        </w:rPr>
      </w:pPr>
    </w:p>
    <w:p w14:paraId="32EE0F86" w14:textId="6447AFD9" w:rsidR="00BA46B4" w:rsidRPr="00F92ECF" w:rsidRDefault="00D97744" w:rsidP="00AE6F22">
      <w:pPr>
        <w:pStyle w:val="ListParagraph"/>
        <w:numPr>
          <w:ilvl w:val="0"/>
          <w:numId w:val="19"/>
        </w:numPr>
        <w:rPr>
          <w:rFonts w:cstheme="minorHAnsi"/>
          <w:bCs/>
        </w:rPr>
      </w:pPr>
      <w:r w:rsidRPr="00D97744">
        <w:rPr>
          <w:rFonts w:cstheme="minorHAnsi"/>
          <w:bCs/>
        </w:rPr>
        <w:t>Ask the working group members to have consideration for the consumer and limit jargon</w:t>
      </w:r>
      <w:r>
        <w:rPr>
          <w:rFonts w:cstheme="minorHAnsi"/>
          <w:bCs/>
        </w:rPr>
        <w:t xml:space="preserve"> </w:t>
      </w:r>
      <w:r w:rsidRPr="00D97744">
        <w:rPr>
          <w:rFonts w:cstheme="minorHAnsi"/>
          <w:bCs/>
        </w:rPr>
        <w:t>and use of acronyms and explain in full what they are talking about so the consumer can</w:t>
      </w:r>
      <w:r>
        <w:rPr>
          <w:rFonts w:cstheme="minorHAnsi"/>
          <w:bCs/>
        </w:rPr>
        <w:t xml:space="preserve"> </w:t>
      </w:r>
      <w:r w:rsidRPr="00D97744">
        <w:rPr>
          <w:rFonts w:cstheme="minorHAnsi"/>
          <w:bCs/>
        </w:rPr>
        <w:t>fully participate in the conversations.</w:t>
      </w:r>
    </w:p>
    <w:p w14:paraId="18F0C021" w14:textId="77777777" w:rsidR="00BA46B4" w:rsidRDefault="00D152DD" w:rsidP="00BA46B4">
      <w:pPr>
        <w:rPr>
          <w:rFonts w:cstheme="minorHAnsi"/>
          <w:b/>
        </w:rPr>
      </w:pPr>
      <w:r w:rsidRPr="00D152DD">
        <w:rPr>
          <w:rFonts w:cstheme="minorHAnsi"/>
          <w:b/>
        </w:rPr>
        <w:t xml:space="preserve">After the meeting </w:t>
      </w:r>
    </w:p>
    <w:p w14:paraId="67BF077D" w14:textId="2975B565" w:rsidR="001828D3" w:rsidRPr="001828D3" w:rsidRDefault="001828D3" w:rsidP="000C219B">
      <w:pPr>
        <w:pStyle w:val="ListParagraph"/>
        <w:numPr>
          <w:ilvl w:val="0"/>
          <w:numId w:val="21"/>
        </w:numPr>
        <w:rPr>
          <w:rStyle w:val="eop"/>
          <w:rFonts w:cstheme="minorHAnsi"/>
          <w:b/>
        </w:rPr>
      </w:pPr>
      <w:r>
        <w:rPr>
          <w:rStyle w:val="normaltextrun"/>
          <w:rFonts w:ascii="Calibri" w:hAnsi="Calibri" w:cs="Calibri"/>
          <w:color w:val="000000"/>
          <w:shd w:val="clear" w:color="auto" w:fill="FFFFFF"/>
        </w:rPr>
        <w:t>Call the consumer and de-brief about the meeting.  Responding to any immediate needs helps to build trust and understanding between the consumer and staff/other committee members. </w:t>
      </w:r>
      <w:r>
        <w:rPr>
          <w:rStyle w:val="eop"/>
          <w:rFonts w:ascii="Calibri" w:hAnsi="Calibri" w:cs="Calibri"/>
          <w:color w:val="000000"/>
          <w:shd w:val="clear" w:color="auto" w:fill="FFFFFF"/>
        </w:rPr>
        <w:t> </w:t>
      </w:r>
    </w:p>
    <w:p w14:paraId="23BC9E5D" w14:textId="77777777" w:rsidR="001828D3" w:rsidRPr="001828D3" w:rsidRDefault="001828D3" w:rsidP="001828D3">
      <w:pPr>
        <w:pStyle w:val="ListParagraph"/>
        <w:rPr>
          <w:rFonts w:cstheme="minorHAnsi"/>
          <w:b/>
        </w:rPr>
      </w:pPr>
    </w:p>
    <w:p w14:paraId="48B23C32" w14:textId="2DE2901A" w:rsidR="009B0271" w:rsidRPr="000C219B" w:rsidRDefault="00BA46B4" w:rsidP="000C219B">
      <w:pPr>
        <w:pStyle w:val="ListParagraph"/>
        <w:numPr>
          <w:ilvl w:val="0"/>
          <w:numId w:val="21"/>
        </w:numPr>
        <w:rPr>
          <w:rFonts w:cstheme="minorHAnsi"/>
          <w:b/>
        </w:rPr>
      </w:pPr>
      <w:r w:rsidRPr="00BA46B4">
        <w:rPr>
          <w:rFonts w:cstheme="minorHAnsi"/>
          <w:bCs/>
        </w:rPr>
        <w:t>At the second meeting, if the consumer representative is comfortable, to feedback to the group how they feel about their involvement and how it felt for them. Did they feel involved/not involved, connected/disconnected, lost/informed?</w:t>
      </w:r>
    </w:p>
    <w:p w14:paraId="292E2FCD" w14:textId="77777777" w:rsidR="000C219B" w:rsidRPr="000C219B" w:rsidRDefault="000C219B" w:rsidP="000C219B">
      <w:pPr>
        <w:pStyle w:val="ListParagraph"/>
        <w:rPr>
          <w:rFonts w:cstheme="minorHAnsi"/>
          <w:b/>
        </w:rPr>
      </w:pPr>
    </w:p>
    <w:p w14:paraId="2571E1A8" w14:textId="20EEDA18" w:rsidR="009B0271" w:rsidRPr="00575693" w:rsidRDefault="00575693" w:rsidP="00575693">
      <w:pPr>
        <w:rPr>
          <w:rFonts w:cstheme="minorHAnsi"/>
          <w:b/>
          <w:bCs/>
        </w:rPr>
      </w:pPr>
      <w:r w:rsidRPr="00575693">
        <w:rPr>
          <w:rFonts w:cstheme="minorHAnsi"/>
          <w:b/>
          <w:bCs/>
        </w:rPr>
        <w:t xml:space="preserve">Resources </w:t>
      </w:r>
    </w:p>
    <w:p w14:paraId="06319461" w14:textId="59D636CA" w:rsidR="00575693" w:rsidRDefault="00575693" w:rsidP="009B0271">
      <w:pPr>
        <w:ind w:left="360"/>
        <w:rPr>
          <w:rFonts w:cstheme="minorHAnsi"/>
          <w:bCs/>
        </w:rPr>
      </w:pPr>
      <w:r>
        <w:rPr>
          <w:rFonts w:cstheme="minorHAnsi"/>
          <w:bCs/>
        </w:rPr>
        <w:t xml:space="preserve">Health Consumers Queensland provides training and resources to staff and consumers to enable stronger consumer partnerships. You can sign up to our weekly eAlert to keep updated and go to our website to find resources: </w:t>
      </w:r>
      <w:hyperlink r:id="rId11" w:history="1">
        <w:r w:rsidRPr="00D13C33">
          <w:rPr>
            <w:rStyle w:val="Hyperlink"/>
            <w:rFonts w:cstheme="minorHAnsi"/>
            <w:bCs/>
          </w:rPr>
          <w:t>www.hcq.org.au</w:t>
        </w:r>
      </w:hyperlink>
      <w:r>
        <w:rPr>
          <w:rFonts w:cstheme="minorHAnsi"/>
          <w:bCs/>
        </w:rPr>
        <w:t xml:space="preserve">  </w:t>
      </w:r>
    </w:p>
    <w:p w14:paraId="5B04AB75" w14:textId="3FEB87A6" w:rsidR="00575693" w:rsidRPr="009B0271" w:rsidRDefault="00575693" w:rsidP="009B0271">
      <w:pPr>
        <w:ind w:left="360"/>
        <w:rPr>
          <w:rFonts w:cstheme="minorHAnsi"/>
          <w:bCs/>
        </w:rPr>
      </w:pPr>
      <w:r w:rsidRPr="00575693">
        <w:rPr>
          <w:rFonts w:cstheme="minorHAnsi"/>
          <w:bCs/>
          <w:noProof/>
        </w:rPr>
        <w:drawing>
          <wp:inline distT="0" distB="0" distL="0" distR="0" wp14:anchorId="3A6630D7" wp14:editId="27939F77">
            <wp:extent cx="1287525" cy="1822158"/>
            <wp:effectExtent l="152400" t="152400" r="370205" b="3689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1299308" cy="1838834"/>
                    </a:xfrm>
                    <a:prstGeom prst="rect">
                      <a:avLst/>
                    </a:prstGeom>
                    <a:ln>
                      <a:noFill/>
                    </a:ln>
                    <a:effectLst>
                      <a:outerShdw blurRad="292100" dist="139700" dir="2700000" algn="tl" rotWithShape="0">
                        <a:srgbClr val="333333">
                          <a:alpha val="65000"/>
                        </a:srgbClr>
                      </a:outerShdw>
                    </a:effectLst>
                  </pic:spPr>
                </pic:pic>
              </a:graphicData>
            </a:graphic>
          </wp:inline>
        </w:drawing>
      </w:r>
      <w:r w:rsidRPr="00575693">
        <w:rPr>
          <w:noProof/>
          <w:lang w:eastAsia="en-AU"/>
        </w:rPr>
        <w:t xml:space="preserve"> </w:t>
      </w:r>
      <w:r w:rsidRPr="00575693">
        <w:rPr>
          <w:rFonts w:cstheme="minorHAnsi"/>
          <w:bCs/>
          <w:noProof/>
        </w:rPr>
        <w:drawing>
          <wp:inline distT="0" distB="0" distL="0" distR="0" wp14:anchorId="49BFBFE6" wp14:editId="7150FAFB">
            <wp:extent cx="1302385" cy="1302385"/>
            <wp:effectExtent l="152400" t="152400" r="354965" b="35496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1302453" cy="1302453"/>
                    </a:xfrm>
                    <a:prstGeom prst="rect">
                      <a:avLst/>
                    </a:prstGeom>
                    <a:ln>
                      <a:noFill/>
                    </a:ln>
                    <a:effectLst>
                      <a:outerShdw blurRad="292100" dist="139700" dir="2700000" algn="tl" rotWithShape="0">
                        <a:srgbClr val="333333">
                          <a:alpha val="65000"/>
                        </a:srgbClr>
                      </a:outerShdw>
                    </a:effectLst>
                  </pic:spPr>
                </pic:pic>
              </a:graphicData>
            </a:graphic>
          </wp:inline>
        </w:drawing>
      </w:r>
      <w:r w:rsidRPr="00575693">
        <w:rPr>
          <w:rFonts w:cstheme="minorHAnsi"/>
          <w:bCs/>
          <w:noProof/>
        </w:rPr>
        <w:drawing>
          <wp:inline distT="0" distB="0" distL="0" distR="0" wp14:anchorId="73731F1A" wp14:editId="6B9C72A0">
            <wp:extent cx="1294130" cy="1294130"/>
            <wp:effectExtent l="152400" t="152400" r="363220" b="36322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stretch>
                      <a:fillRect/>
                    </a:stretch>
                  </pic:blipFill>
                  <pic:spPr>
                    <a:xfrm>
                      <a:off x="0" y="0"/>
                      <a:ext cx="1294202" cy="1294202"/>
                    </a:xfrm>
                    <a:prstGeom prst="rect">
                      <a:avLst/>
                    </a:prstGeom>
                    <a:ln>
                      <a:noFill/>
                    </a:ln>
                    <a:effectLst>
                      <a:outerShdw blurRad="292100" dist="139700" dir="2700000" algn="tl" rotWithShape="0">
                        <a:srgbClr val="333333">
                          <a:alpha val="65000"/>
                        </a:srgbClr>
                      </a:outerShdw>
                    </a:effectLst>
                  </pic:spPr>
                </pic:pic>
              </a:graphicData>
            </a:graphic>
          </wp:inline>
        </w:drawing>
      </w:r>
    </w:p>
    <w:sectPr w:rsidR="00575693" w:rsidRPr="009B027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B3929" w14:textId="77777777" w:rsidR="00DA675F" w:rsidRDefault="00DA675F">
      <w:pPr>
        <w:spacing w:after="0" w:line="240" w:lineRule="auto"/>
      </w:pPr>
      <w:r>
        <w:separator/>
      </w:r>
    </w:p>
  </w:endnote>
  <w:endnote w:type="continuationSeparator" w:id="0">
    <w:p w14:paraId="004E1FFC" w14:textId="77777777" w:rsidR="00DA675F" w:rsidRDefault="00DA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2C3C6" w14:textId="77777777" w:rsidR="00DA675F" w:rsidRDefault="00DA675F">
      <w:pPr>
        <w:spacing w:after="0" w:line="240" w:lineRule="auto"/>
      </w:pPr>
      <w:r>
        <w:separator/>
      </w:r>
    </w:p>
  </w:footnote>
  <w:footnote w:type="continuationSeparator" w:id="0">
    <w:p w14:paraId="33036B2F" w14:textId="77777777" w:rsidR="00DA675F" w:rsidRDefault="00DA6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A7F7" w14:textId="77777777" w:rsidR="00431C45" w:rsidRDefault="00CF1F29">
    <w:pPr>
      <w:pStyle w:val="Header"/>
    </w:pPr>
    <w:r w:rsidRPr="00B12EC6">
      <w:rPr>
        <w:b/>
        <w:noProof/>
        <w:sz w:val="36"/>
        <w:szCs w:val="36"/>
        <w:lang w:eastAsia="en-AU"/>
      </w:rPr>
      <w:drawing>
        <wp:anchor distT="0" distB="0" distL="114300" distR="114300" simplePos="0" relativeHeight="251659264" behindDoc="0" locked="0" layoutInCell="1" allowOverlap="1" wp14:anchorId="3ED4A01A" wp14:editId="7E0ECB6D">
          <wp:simplePos x="0" y="0"/>
          <wp:positionH relativeFrom="column">
            <wp:posOffset>-3286125</wp:posOffset>
          </wp:positionH>
          <wp:positionV relativeFrom="paragraph">
            <wp:posOffset>-210185</wp:posOffset>
          </wp:positionV>
          <wp:extent cx="10940283" cy="99391"/>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0940283" cy="993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384B"/>
    <w:multiLevelType w:val="hybridMultilevel"/>
    <w:tmpl w:val="90406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514C43"/>
    <w:multiLevelType w:val="hybridMultilevel"/>
    <w:tmpl w:val="CDC6B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C947EA"/>
    <w:multiLevelType w:val="hybridMultilevel"/>
    <w:tmpl w:val="38043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B73D87"/>
    <w:multiLevelType w:val="multilevel"/>
    <w:tmpl w:val="69F68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75E86"/>
    <w:multiLevelType w:val="hybridMultilevel"/>
    <w:tmpl w:val="855C9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D25361"/>
    <w:multiLevelType w:val="hybridMultilevel"/>
    <w:tmpl w:val="F6467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F43F0A"/>
    <w:multiLevelType w:val="hybridMultilevel"/>
    <w:tmpl w:val="5BBA6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475034"/>
    <w:multiLevelType w:val="hybridMultilevel"/>
    <w:tmpl w:val="3F62E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E1C43"/>
    <w:multiLevelType w:val="hybridMultilevel"/>
    <w:tmpl w:val="BBD42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6F6BF4"/>
    <w:multiLevelType w:val="hybridMultilevel"/>
    <w:tmpl w:val="FBBE6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8F62A9"/>
    <w:multiLevelType w:val="hybridMultilevel"/>
    <w:tmpl w:val="E0C2F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777AD6"/>
    <w:multiLevelType w:val="hybridMultilevel"/>
    <w:tmpl w:val="7DCEB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C86CE1"/>
    <w:multiLevelType w:val="hybridMultilevel"/>
    <w:tmpl w:val="63DEA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3726CC"/>
    <w:multiLevelType w:val="hybridMultilevel"/>
    <w:tmpl w:val="538CB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55C0EF2"/>
    <w:multiLevelType w:val="hybridMultilevel"/>
    <w:tmpl w:val="F86CE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F505DD"/>
    <w:multiLevelType w:val="hybridMultilevel"/>
    <w:tmpl w:val="2E527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E6429"/>
    <w:multiLevelType w:val="hybridMultilevel"/>
    <w:tmpl w:val="73E20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C2542B8"/>
    <w:multiLevelType w:val="hybridMultilevel"/>
    <w:tmpl w:val="ACB4F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26C187B"/>
    <w:multiLevelType w:val="hybridMultilevel"/>
    <w:tmpl w:val="C0E0E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062616"/>
    <w:multiLevelType w:val="hybridMultilevel"/>
    <w:tmpl w:val="88CC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70417F"/>
    <w:multiLevelType w:val="hybridMultilevel"/>
    <w:tmpl w:val="167CDFA4"/>
    <w:lvl w:ilvl="0" w:tplc="0C090001">
      <w:start w:val="1"/>
      <w:numFmt w:val="bullet"/>
      <w:lvlText w:val=""/>
      <w:lvlJc w:val="left"/>
      <w:pPr>
        <w:ind w:left="720" w:hanging="360"/>
      </w:pPr>
      <w:rPr>
        <w:rFonts w:ascii="Symbol" w:hAnsi="Symbol" w:hint="default"/>
      </w:rPr>
    </w:lvl>
    <w:lvl w:ilvl="1" w:tplc="226CE906">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2"/>
  </w:num>
  <w:num w:numId="4">
    <w:abstractNumId w:val="9"/>
  </w:num>
  <w:num w:numId="5">
    <w:abstractNumId w:val="5"/>
  </w:num>
  <w:num w:numId="6">
    <w:abstractNumId w:val="11"/>
  </w:num>
  <w:num w:numId="7">
    <w:abstractNumId w:val="0"/>
  </w:num>
  <w:num w:numId="8">
    <w:abstractNumId w:val="8"/>
  </w:num>
  <w:num w:numId="9">
    <w:abstractNumId w:val="1"/>
  </w:num>
  <w:num w:numId="10">
    <w:abstractNumId w:val="6"/>
  </w:num>
  <w:num w:numId="11">
    <w:abstractNumId w:val="12"/>
  </w:num>
  <w:num w:numId="12">
    <w:abstractNumId w:val="10"/>
  </w:num>
  <w:num w:numId="13">
    <w:abstractNumId w:val="16"/>
  </w:num>
  <w:num w:numId="14">
    <w:abstractNumId w:val="15"/>
  </w:num>
  <w:num w:numId="15">
    <w:abstractNumId w:val="17"/>
  </w:num>
  <w:num w:numId="16">
    <w:abstractNumId w:val="7"/>
  </w:num>
  <w:num w:numId="17">
    <w:abstractNumId w:val="20"/>
  </w:num>
  <w:num w:numId="18">
    <w:abstractNumId w:val="13"/>
  </w:num>
  <w:num w:numId="19">
    <w:abstractNumId w:val="4"/>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29"/>
    <w:rsid w:val="000047A3"/>
    <w:rsid w:val="00077C1E"/>
    <w:rsid w:val="00085D60"/>
    <w:rsid w:val="000A4169"/>
    <w:rsid w:val="000B144F"/>
    <w:rsid w:val="000C219B"/>
    <w:rsid w:val="000D322E"/>
    <w:rsid w:val="000D6394"/>
    <w:rsid w:val="000E2315"/>
    <w:rsid w:val="00112AE4"/>
    <w:rsid w:val="00164735"/>
    <w:rsid w:val="00172C4B"/>
    <w:rsid w:val="001828D3"/>
    <w:rsid w:val="001C38C2"/>
    <w:rsid w:val="00235D83"/>
    <w:rsid w:val="0026275B"/>
    <w:rsid w:val="00282E11"/>
    <w:rsid w:val="002A5621"/>
    <w:rsid w:val="002D13A7"/>
    <w:rsid w:val="00323B29"/>
    <w:rsid w:val="00341F55"/>
    <w:rsid w:val="003934C2"/>
    <w:rsid w:val="003A5E38"/>
    <w:rsid w:val="003F3547"/>
    <w:rsid w:val="00415DC3"/>
    <w:rsid w:val="00427956"/>
    <w:rsid w:val="004656FE"/>
    <w:rsid w:val="00470759"/>
    <w:rsid w:val="00476325"/>
    <w:rsid w:val="00480B53"/>
    <w:rsid w:val="004F77CC"/>
    <w:rsid w:val="00511471"/>
    <w:rsid w:val="00531BDB"/>
    <w:rsid w:val="005710BA"/>
    <w:rsid w:val="00575693"/>
    <w:rsid w:val="00575F2D"/>
    <w:rsid w:val="00586E75"/>
    <w:rsid w:val="005C0BF9"/>
    <w:rsid w:val="005C226E"/>
    <w:rsid w:val="005E30E8"/>
    <w:rsid w:val="005F48C9"/>
    <w:rsid w:val="005F49F5"/>
    <w:rsid w:val="00612452"/>
    <w:rsid w:val="00633BA6"/>
    <w:rsid w:val="00647D0E"/>
    <w:rsid w:val="00650528"/>
    <w:rsid w:val="006870D9"/>
    <w:rsid w:val="006A67A9"/>
    <w:rsid w:val="00700625"/>
    <w:rsid w:val="007205F6"/>
    <w:rsid w:val="00725233"/>
    <w:rsid w:val="00726C9D"/>
    <w:rsid w:val="00747CD4"/>
    <w:rsid w:val="00771739"/>
    <w:rsid w:val="007C7659"/>
    <w:rsid w:val="00805900"/>
    <w:rsid w:val="008176F8"/>
    <w:rsid w:val="00826D52"/>
    <w:rsid w:val="00834BBE"/>
    <w:rsid w:val="008408EF"/>
    <w:rsid w:val="0084298A"/>
    <w:rsid w:val="008571AF"/>
    <w:rsid w:val="00863942"/>
    <w:rsid w:val="008F379F"/>
    <w:rsid w:val="009013CD"/>
    <w:rsid w:val="00925522"/>
    <w:rsid w:val="00937ADE"/>
    <w:rsid w:val="0097343B"/>
    <w:rsid w:val="0098253E"/>
    <w:rsid w:val="009A3F58"/>
    <w:rsid w:val="009B0271"/>
    <w:rsid w:val="009E41AC"/>
    <w:rsid w:val="009F4EBD"/>
    <w:rsid w:val="00A36AB3"/>
    <w:rsid w:val="00A63463"/>
    <w:rsid w:val="00A65BB3"/>
    <w:rsid w:val="00A7690D"/>
    <w:rsid w:val="00A93818"/>
    <w:rsid w:val="00A96BE8"/>
    <w:rsid w:val="00A97507"/>
    <w:rsid w:val="00AA4EB4"/>
    <w:rsid w:val="00AC6A3C"/>
    <w:rsid w:val="00AD2AF8"/>
    <w:rsid w:val="00AE6F22"/>
    <w:rsid w:val="00AF3660"/>
    <w:rsid w:val="00B009F2"/>
    <w:rsid w:val="00B0198B"/>
    <w:rsid w:val="00B02A31"/>
    <w:rsid w:val="00B3197A"/>
    <w:rsid w:val="00B31D97"/>
    <w:rsid w:val="00B622EB"/>
    <w:rsid w:val="00B670C8"/>
    <w:rsid w:val="00B702CE"/>
    <w:rsid w:val="00B930A8"/>
    <w:rsid w:val="00B97226"/>
    <w:rsid w:val="00BA42D9"/>
    <w:rsid w:val="00BA46B4"/>
    <w:rsid w:val="00BC3CA7"/>
    <w:rsid w:val="00C22BDA"/>
    <w:rsid w:val="00C2329C"/>
    <w:rsid w:val="00C61E9B"/>
    <w:rsid w:val="00C628DC"/>
    <w:rsid w:val="00C97FBC"/>
    <w:rsid w:val="00CB64F6"/>
    <w:rsid w:val="00CD4060"/>
    <w:rsid w:val="00CE4E74"/>
    <w:rsid w:val="00CF1F29"/>
    <w:rsid w:val="00D06B44"/>
    <w:rsid w:val="00D152DD"/>
    <w:rsid w:val="00D975F8"/>
    <w:rsid w:val="00D97744"/>
    <w:rsid w:val="00DA675F"/>
    <w:rsid w:val="00DC0054"/>
    <w:rsid w:val="00DC4C3C"/>
    <w:rsid w:val="00DE54D2"/>
    <w:rsid w:val="00DF4C34"/>
    <w:rsid w:val="00E20423"/>
    <w:rsid w:val="00E22AA4"/>
    <w:rsid w:val="00E33003"/>
    <w:rsid w:val="00EA003A"/>
    <w:rsid w:val="00EC32A7"/>
    <w:rsid w:val="00F0512A"/>
    <w:rsid w:val="00F2513E"/>
    <w:rsid w:val="00F62D91"/>
    <w:rsid w:val="00F92ECF"/>
    <w:rsid w:val="00FB3893"/>
    <w:rsid w:val="00FB7E08"/>
    <w:rsid w:val="00FD6BA9"/>
    <w:rsid w:val="00FE1262"/>
    <w:rsid w:val="00FE45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253E"/>
  <w15:chartTrackingRefBased/>
  <w15:docId w15:val="{C640273A-3F22-4955-9E95-B085E7FF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F29"/>
  </w:style>
  <w:style w:type="paragraph" w:styleId="Heading3">
    <w:name w:val="heading 3"/>
    <w:basedOn w:val="Normal"/>
    <w:next w:val="Normal"/>
    <w:link w:val="Heading3Char"/>
    <w:uiPriority w:val="9"/>
    <w:unhideWhenUsed/>
    <w:qFormat/>
    <w:rsid w:val="00CF1F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1F2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F1F29"/>
    <w:pPr>
      <w:ind w:left="720"/>
      <w:contextualSpacing/>
    </w:pPr>
  </w:style>
  <w:style w:type="paragraph" w:styleId="Header">
    <w:name w:val="header"/>
    <w:basedOn w:val="Normal"/>
    <w:link w:val="HeaderChar"/>
    <w:uiPriority w:val="99"/>
    <w:unhideWhenUsed/>
    <w:rsid w:val="00CF1F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F29"/>
  </w:style>
  <w:style w:type="paragraph" w:styleId="Footer">
    <w:name w:val="footer"/>
    <w:basedOn w:val="Normal"/>
    <w:link w:val="FooterChar"/>
    <w:uiPriority w:val="99"/>
    <w:unhideWhenUsed/>
    <w:rsid w:val="00CF1F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F29"/>
  </w:style>
  <w:style w:type="paragraph" w:styleId="PlainText">
    <w:name w:val="Plain Text"/>
    <w:basedOn w:val="Normal"/>
    <w:link w:val="PlainTextChar"/>
    <w:uiPriority w:val="99"/>
    <w:unhideWhenUsed/>
    <w:rsid w:val="00CF1F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1F29"/>
    <w:rPr>
      <w:rFonts w:ascii="Calibri" w:hAnsi="Calibri"/>
      <w:szCs w:val="21"/>
    </w:rPr>
  </w:style>
  <w:style w:type="paragraph" w:customStyle="1" w:styleId="paragraph">
    <w:name w:val="paragraph"/>
    <w:basedOn w:val="Normal"/>
    <w:uiPriority w:val="99"/>
    <w:rsid w:val="00834B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834BBE"/>
  </w:style>
  <w:style w:type="character" w:customStyle="1" w:styleId="eop">
    <w:name w:val="eop"/>
    <w:basedOn w:val="DefaultParagraphFont"/>
    <w:rsid w:val="00834BBE"/>
  </w:style>
  <w:style w:type="table" w:styleId="TableGrid">
    <w:name w:val="Table Grid"/>
    <w:basedOn w:val="TableNormal"/>
    <w:uiPriority w:val="39"/>
    <w:rsid w:val="00AC6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271"/>
    <w:rPr>
      <w:color w:val="0563C1" w:themeColor="hyperlink"/>
      <w:u w:val="single"/>
    </w:rPr>
  </w:style>
  <w:style w:type="character" w:customStyle="1" w:styleId="UnresolvedMention1">
    <w:name w:val="Unresolved Mention1"/>
    <w:basedOn w:val="DefaultParagraphFont"/>
    <w:uiPriority w:val="99"/>
    <w:semiHidden/>
    <w:unhideWhenUsed/>
    <w:rsid w:val="009B0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cq.org.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BE3F9FD678584BB89F7A1146ABE1BC" ma:contentTypeVersion="12" ma:contentTypeDescription="Create a new document." ma:contentTypeScope="" ma:versionID="258ad1543e64607d5a29f2f807f37037">
  <xsd:schema xmlns:xsd="http://www.w3.org/2001/XMLSchema" xmlns:xs="http://www.w3.org/2001/XMLSchema" xmlns:p="http://schemas.microsoft.com/office/2006/metadata/properties" xmlns:ns2="cd825132-467c-41f6-9969-f0c1c8cfc3d1" xmlns:ns3="2ca354fd-4360-4dc8-a020-e61f774bcd25" targetNamespace="http://schemas.microsoft.com/office/2006/metadata/properties" ma:root="true" ma:fieldsID="77008dfef244529cd3b0831d83b3adf2" ns2:_="" ns3:_="">
    <xsd:import namespace="cd825132-467c-41f6-9969-f0c1c8cfc3d1"/>
    <xsd:import namespace="2ca354fd-4360-4dc8-a020-e61f774bc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25132-467c-41f6-9969-f0c1c8cfc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a354fd-4360-4dc8-a020-e61f774bc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023C3-B81B-4C4A-BD92-AD9BB9FF7C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9E3C5C-2E33-4520-9F08-4EF731777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25132-467c-41f6-9969-f0c1c8cfc3d1"/>
    <ds:schemaRef ds:uri="2ca354fd-4360-4dc8-a020-e61f774bc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C3BBA-2EA2-4604-B201-F12F3E22C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Smethurst</dc:creator>
  <cp:keywords/>
  <dc:description/>
  <cp:lastModifiedBy>Chelsea Gourgaud</cp:lastModifiedBy>
  <cp:revision>14</cp:revision>
  <dcterms:created xsi:type="dcterms:W3CDTF">2020-12-17T05:32:00Z</dcterms:created>
  <dcterms:modified xsi:type="dcterms:W3CDTF">2020-12-22T06:46:00Z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0x0101005EBE3F9FD678584BB89F7A1146ABE1BC</vt:lpwstr>
  </property>
</Properties>
</file>