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1924" w14:textId="267D6827" w:rsidR="00CF307C" w:rsidRPr="00CF307C" w:rsidRDefault="00323ABA" w:rsidP="779288A1">
      <w:pPr>
        <w:pStyle w:val="StaffH1"/>
        <w:pBdr>
          <w:bottom w:val="single" w:sz="4" w:space="1" w:color="9B0552"/>
        </w:pBdr>
        <w:jc w:val="center"/>
        <w:rPr>
          <w:sz w:val="36"/>
          <w:szCs w:val="36"/>
        </w:rPr>
      </w:pPr>
      <w:r w:rsidRPr="779288A1">
        <w:rPr>
          <w:sz w:val="36"/>
          <w:szCs w:val="36"/>
        </w:rPr>
        <w:t>P</w:t>
      </w:r>
      <w:r w:rsidR="00AD3EE1" w:rsidRPr="779288A1">
        <w:rPr>
          <w:sz w:val="36"/>
          <w:szCs w:val="36"/>
        </w:rPr>
        <w:t>articipat</w:t>
      </w:r>
      <w:r w:rsidR="7B0A658D" w:rsidRPr="779288A1">
        <w:rPr>
          <w:sz w:val="36"/>
          <w:szCs w:val="36"/>
        </w:rPr>
        <w:t>e</w:t>
      </w:r>
      <w:r w:rsidR="00AD3EE1" w:rsidRPr="779288A1">
        <w:rPr>
          <w:sz w:val="36"/>
          <w:szCs w:val="36"/>
        </w:rPr>
        <w:t xml:space="preserve"> in consumer and carer consultation for </w:t>
      </w:r>
      <w:r w:rsidRPr="779288A1">
        <w:rPr>
          <w:sz w:val="36"/>
          <w:szCs w:val="36"/>
        </w:rPr>
        <w:t xml:space="preserve">a national scheme </w:t>
      </w:r>
      <w:r w:rsidR="217E8872" w:rsidRPr="779288A1">
        <w:rPr>
          <w:sz w:val="36"/>
          <w:szCs w:val="36"/>
        </w:rPr>
        <w:t>to recognise</w:t>
      </w:r>
      <w:r w:rsidR="007A24EA" w:rsidRPr="779288A1">
        <w:rPr>
          <w:sz w:val="36"/>
          <w:szCs w:val="36"/>
        </w:rPr>
        <w:t xml:space="preserve"> </w:t>
      </w:r>
      <w:r w:rsidRPr="779288A1">
        <w:rPr>
          <w:sz w:val="36"/>
          <w:szCs w:val="36"/>
        </w:rPr>
        <w:t>c</w:t>
      </w:r>
      <w:r w:rsidR="007A24EA" w:rsidRPr="779288A1">
        <w:rPr>
          <w:sz w:val="36"/>
          <w:szCs w:val="36"/>
        </w:rPr>
        <w:t xml:space="preserve">ivil </w:t>
      </w:r>
      <w:r w:rsidRPr="779288A1">
        <w:rPr>
          <w:sz w:val="36"/>
          <w:szCs w:val="36"/>
        </w:rPr>
        <w:t>i</w:t>
      </w:r>
      <w:r w:rsidR="007A24EA" w:rsidRPr="779288A1">
        <w:rPr>
          <w:sz w:val="36"/>
          <w:szCs w:val="36"/>
        </w:rPr>
        <w:t xml:space="preserve">nvoluntary </w:t>
      </w:r>
      <w:r w:rsidRPr="779288A1">
        <w:rPr>
          <w:sz w:val="36"/>
          <w:szCs w:val="36"/>
        </w:rPr>
        <w:t>m</w:t>
      </w:r>
      <w:r w:rsidR="007A24EA" w:rsidRPr="779288A1">
        <w:rPr>
          <w:sz w:val="36"/>
          <w:szCs w:val="36"/>
        </w:rPr>
        <w:t xml:space="preserve">ental </w:t>
      </w:r>
      <w:r w:rsidRPr="779288A1">
        <w:rPr>
          <w:sz w:val="36"/>
          <w:szCs w:val="36"/>
        </w:rPr>
        <w:t>h</w:t>
      </w:r>
      <w:r w:rsidR="007A24EA" w:rsidRPr="779288A1">
        <w:rPr>
          <w:sz w:val="36"/>
          <w:szCs w:val="36"/>
        </w:rPr>
        <w:t xml:space="preserve">ealth </w:t>
      </w:r>
      <w:r w:rsidRPr="779288A1">
        <w:rPr>
          <w:sz w:val="36"/>
          <w:szCs w:val="36"/>
        </w:rPr>
        <w:t>o</w:t>
      </w:r>
      <w:r w:rsidR="007A24EA" w:rsidRPr="779288A1">
        <w:rPr>
          <w:sz w:val="36"/>
          <w:szCs w:val="36"/>
        </w:rPr>
        <w:t>rders</w:t>
      </w:r>
    </w:p>
    <w:p w14:paraId="21F441C9" w14:textId="00BEDEC5" w:rsidR="00CF307C" w:rsidRPr="0011708E" w:rsidRDefault="00CF307C" w:rsidP="00A21D79">
      <w:pPr>
        <w:pStyle w:val="StaffH1"/>
        <w:ind w:right="-279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6D3FC5">
        <w:rPr>
          <w:rFonts w:asciiTheme="minorHAnsi" w:hAnsiTheme="minorHAnsi" w:cstheme="minorHAnsi"/>
          <w:color w:val="auto"/>
          <w:sz w:val="22"/>
        </w:rPr>
        <w:t xml:space="preserve">9am Monday, </w:t>
      </w:r>
      <w:r w:rsidR="006D3FC5" w:rsidRPr="006D3FC5">
        <w:rPr>
          <w:rFonts w:asciiTheme="minorHAnsi" w:hAnsiTheme="minorHAnsi" w:cstheme="minorHAnsi"/>
          <w:color w:val="auto"/>
          <w:sz w:val="22"/>
        </w:rPr>
        <w:t>26</w:t>
      </w:r>
      <w:r w:rsidR="00AD3EE1" w:rsidRPr="006D3FC5">
        <w:rPr>
          <w:rFonts w:asciiTheme="minorHAnsi" w:hAnsiTheme="minorHAnsi" w:cstheme="minorHAnsi"/>
          <w:color w:val="auto"/>
          <w:sz w:val="22"/>
        </w:rPr>
        <w:t xml:space="preserve"> February</w:t>
      </w:r>
      <w:r w:rsidR="00AA719C" w:rsidRPr="006D3FC5">
        <w:rPr>
          <w:rFonts w:asciiTheme="minorHAnsi" w:hAnsiTheme="minorHAnsi" w:cstheme="minorHAnsi"/>
          <w:color w:val="auto"/>
          <w:sz w:val="22"/>
        </w:rPr>
        <w:t xml:space="preserve"> 202</w:t>
      </w:r>
      <w:r w:rsidR="003C2EF5">
        <w:rPr>
          <w:rFonts w:asciiTheme="minorHAnsi" w:hAnsiTheme="minorHAnsi" w:cstheme="minorHAnsi"/>
          <w:color w:val="auto"/>
          <w:sz w:val="22"/>
        </w:rPr>
        <w:t>1</w:t>
      </w:r>
    </w:p>
    <w:p w14:paraId="25E17CA7" w14:textId="15591C76" w:rsidR="003C2EF5" w:rsidRDefault="6938217B" w:rsidP="004070BB">
      <w:pPr>
        <w:ind w:right="-755"/>
        <w:jc w:val="both"/>
        <w:rPr>
          <w:rStyle w:val="Hyperlink"/>
          <w:bCs/>
          <w:color w:val="9B1D54"/>
          <w:sz w:val="28"/>
          <w:szCs w:val="28"/>
          <w:u w:val="none"/>
        </w:rPr>
      </w:pPr>
      <w:r w:rsidRPr="779288A1">
        <w:rPr>
          <w:b/>
          <w:bCs/>
        </w:rPr>
        <w:t>Are you a</w:t>
      </w:r>
      <w:r w:rsidR="00F9156F" w:rsidRPr="779288A1">
        <w:rPr>
          <w:b/>
          <w:bCs/>
        </w:rPr>
        <w:t xml:space="preserve"> consumer and </w:t>
      </w:r>
      <w:r w:rsidR="002A6A54" w:rsidRPr="779288A1">
        <w:rPr>
          <w:b/>
          <w:bCs/>
        </w:rPr>
        <w:t>carer with</w:t>
      </w:r>
      <w:r w:rsidR="00F9156F" w:rsidRPr="779288A1">
        <w:rPr>
          <w:b/>
          <w:bCs/>
        </w:rPr>
        <w:t xml:space="preserve"> experience of moving between Queensland and other states and territories within Australia, or vice versa, whilst receiving civil involuntary mental health </w:t>
      </w:r>
      <w:r w:rsidR="002A6A54" w:rsidRPr="779288A1">
        <w:rPr>
          <w:b/>
          <w:bCs/>
        </w:rPr>
        <w:t>treatment?</w:t>
      </w:r>
      <w:r w:rsidR="00F9156F">
        <w:t xml:space="preserve"> </w:t>
      </w:r>
    </w:p>
    <w:p w14:paraId="328C8F57" w14:textId="0C3F6D60" w:rsidR="007A67B5" w:rsidRPr="007A67B5" w:rsidRDefault="52926273" w:rsidP="779288A1">
      <w:pPr>
        <w:ind w:right="-755"/>
        <w:rPr>
          <w:rStyle w:val="Hyperlink"/>
          <w:color w:val="9B1D54"/>
          <w:sz w:val="28"/>
          <w:szCs w:val="28"/>
          <w:u w:val="none"/>
        </w:rPr>
      </w:pPr>
      <w:r w:rsidRPr="779288A1">
        <w:rPr>
          <w:rStyle w:val="Hyperlink"/>
          <w:color w:val="9B1D54"/>
          <w:sz w:val="28"/>
          <w:szCs w:val="28"/>
          <w:u w:val="none"/>
        </w:rPr>
        <w:t>The National Mutual Recognition Project</w:t>
      </w:r>
    </w:p>
    <w:p w14:paraId="304532E3" w14:textId="7FF21912" w:rsidR="00AD3EE1" w:rsidRPr="002E24E6" w:rsidRDefault="00AD3EE1" w:rsidP="002E24E6">
      <w:r>
        <w:t>Queensland</w:t>
      </w:r>
      <w:r w:rsidR="00990FA7">
        <w:t>’s</w:t>
      </w:r>
      <w:r>
        <w:t xml:space="preserve"> Health Mental Health Alcohol and Other Drugs Branch</w:t>
      </w:r>
      <w:r w:rsidR="54D38EBA">
        <w:t>,</w:t>
      </w:r>
      <w:r>
        <w:t xml:space="preserve"> is hosting the National Mutual Recognition Project on behalf of the </w:t>
      </w:r>
      <w:r w:rsidR="002E24E6">
        <w:t xml:space="preserve">Commonwealth </w:t>
      </w:r>
      <w:r>
        <w:t>Mental Health Principal Committee. The project team is developing a national legislative scheme for the mutual recognition of civil</w:t>
      </w:r>
      <w:r w:rsidR="002E24E6">
        <w:t xml:space="preserve"> involuntary </w:t>
      </w:r>
      <w:r>
        <w:t>mental health orders across Australian states and territories. In effect, this will</w:t>
      </w:r>
      <w:r w:rsidR="002E24E6">
        <w:t xml:space="preserve"> </w:t>
      </w:r>
      <w:r>
        <w:t>mean that a civil mental health order</w:t>
      </w:r>
      <w:r w:rsidR="002E24E6">
        <w:t xml:space="preserve"> </w:t>
      </w:r>
      <w:r>
        <w:t>made in</w:t>
      </w:r>
      <w:r w:rsidR="004070BB">
        <w:t xml:space="preserve"> Queensland</w:t>
      </w:r>
      <w:r>
        <w:t xml:space="preserve"> will be</w:t>
      </w:r>
      <w:r w:rsidR="002E24E6">
        <w:t xml:space="preserve"> </w:t>
      </w:r>
      <w:r>
        <w:t>automatically recognised in another</w:t>
      </w:r>
      <w:r w:rsidR="002E24E6">
        <w:t xml:space="preserve"> </w:t>
      </w:r>
      <w:r w:rsidR="004070BB">
        <w:t>state or territory</w:t>
      </w:r>
      <w:r>
        <w:t>, and vice versa.</w:t>
      </w:r>
    </w:p>
    <w:p w14:paraId="04013E0C" w14:textId="649AD04E" w:rsidR="00967592" w:rsidRDefault="00A45E45" w:rsidP="00FE3C6B">
      <w:pPr>
        <w:ind w:right="-755"/>
        <w:jc w:val="both"/>
      </w:pPr>
      <w:r w:rsidRPr="00A21D79">
        <w:rPr>
          <w:b/>
          <w:bCs/>
          <w:color w:val="9B1D54"/>
        </w:rPr>
        <w:t>Civil Mental Health Order</w:t>
      </w:r>
      <w:r w:rsidR="00967592" w:rsidRPr="00A21D79">
        <w:rPr>
          <w:b/>
          <w:bCs/>
          <w:color w:val="9B1D54"/>
        </w:rPr>
        <w:t>s</w:t>
      </w:r>
      <w:r w:rsidR="00967592" w:rsidRPr="00A21D79">
        <w:rPr>
          <w:color w:val="9B1D54"/>
        </w:rPr>
        <w:t xml:space="preserve"> </w:t>
      </w:r>
      <w:r w:rsidR="00967592">
        <w:t>are orders that allow a person to be given treatment and care</w:t>
      </w:r>
      <w:r w:rsidR="002A6A54">
        <w:t xml:space="preserve"> for their mental illness</w:t>
      </w:r>
      <w:r w:rsidR="00967592">
        <w:t xml:space="preserve"> without their consent. In Queensland these orders are called treatment authorities but in other states and territories they have difference names such as treatment orders or care orders.</w:t>
      </w:r>
    </w:p>
    <w:p w14:paraId="13FBEB94" w14:textId="0255792C" w:rsidR="00F9156F" w:rsidRDefault="00967592" w:rsidP="00FE3C6B">
      <w:pPr>
        <w:ind w:right="-755"/>
        <w:jc w:val="both"/>
      </w:pPr>
      <w:r>
        <w:t>More information about treatment authorities is</w:t>
      </w:r>
      <w:r w:rsidR="002A6A54">
        <w:t xml:space="preserve"> available at </w:t>
      </w:r>
      <w:hyperlink r:id="rId11" w:history="1">
        <w:r w:rsidR="002A6A54" w:rsidRPr="00672EAB">
          <w:rPr>
            <w:rStyle w:val="Hyperlink"/>
          </w:rPr>
          <w:t>https://www.health.qld.gov.au/clinical-practice/guidelines-procedures/clinical-staff/mental-health/act/topics/treatment-care</w:t>
        </w:r>
      </w:hyperlink>
      <w:r w:rsidR="002A6A54">
        <w:t xml:space="preserve"> </w:t>
      </w:r>
    </w:p>
    <w:p w14:paraId="5D64C741" w14:textId="72A917AE" w:rsidR="0011708E" w:rsidRPr="00FE5268" w:rsidRDefault="007A67B5" w:rsidP="00FE3C6B">
      <w:pPr>
        <w:ind w:right="-755"/>
        <w:jc w:val="both"/>
        <w:rPr>
          <w:rStyle w:val="Hyperlink"/>
          <w:rFonts w:cstheme="minorHAnsi"/>
          <w:b/>
          <w:color w:val="9B1D54"/>
          <w:sz w:val="28"/>
          <w:szCs w:val="28"/>
          <w:u w:val="none"/>
        </w:rPr>
      </w:pPr>
      <w:r w:rsidRPr="00FE5268">
        <w:rPr>
          <w:rStyle w:val="Hyperlink"/>
          <w:rFonts w:cstheme="minorHAnsi"/>
          <w:b/>
          <w:color w:val="9B1D54"/>
          <w:sz w:val="28"/>
          <w:szCs w:val="28"/>
          <w:u w:val="none"/>
        </w:rPr>
        <w:t>Purpose</w:t>
      </w:r>
      <w:r w:rsidR="00B04D75" w:rsidRPr="00FE5268">
        <w:rPr>
          <w:rStyle w:val="Hyperlink"/>
          <w:rFonts w:cstheme="minorHAnsi"/>
          <w:b/>
          <w:color w:val="9B1D54"/>
          <w:sz w:val="28"/>
          <w:szCs w:val="28"/>
          <w:u w:val="none"/>
        </w:rPr>
        <w:t xml:space="preserve"> of </w:t>
      </w:r>
      <w:r w:rsidR="00B04D75" w:rsidRPr="00A21D79">
        <w:rPr>
          <w:rStyle w:val="Hyperlink"/>
          <w:rFonts w:cstheme="minorHAnsi"/>
          <w:b/>
          <w:color w:val="9B1D54"/>
          <w:sz w:val="28"/>
          <w:szCs w:val="28"/>
          <w:u w:val="none"/>
        </w:rPr>
        <w:t>the</w:t>
      </w:r>
      <w:r w:rsidR="00B04D75" w:rsidRPr="00FE5268">
        <w:rPr>
          <w:rStyle w:val="Hyperlink"/>
          <w:rFonts w:cstheme="minorHAnsi"/>
          <w:b/>
          <w:color w:val="9B1D54"/>
          <w:sz w:val="28"/>
          <w:szCs w:val="28"/>
          <w:u w:val="none"/>
        </w:rPr>
        <w:t xml:space="preserve"> </w:t>
      </w:r>
      <w:r w:rsidR="00901749" w:rsidRPr="00FE5268">
        <w:rPr>
          <w:rStyle w:val="Hyperlink"/>
          <w:rFonts w:cstheme="minorHAnsi"/>
          <w:b/>
          <w:color w:val="9B1D54"/>
          <w:sz w:val="28"/>
          <w:szCs w:val="28"/>
          <w:u w:val="none"/>
        </w:rPr>
        <w:t>Consultation</w:t>
      </w:r>
    </w:p>
    <w:p w14:paraId="130BBFD2" w14:textId="1B104A27" w:rsidR="00901749" w:rsidRDefault="00901749" w:rsidP="00FE3C6B">
      <w:pPr>
        <w:jc w:val="both"/>
        <w:rPr>
          <w:rStyle w:val="normaltextrun"/>
          <w:rFonts w:cs="Arial"/>
          <w:shd w:val="clear" w:color="auto" w:fill="FFFFFF"/>
        </w:rPr>
      </w:pPr>
      <w:r>
        <w:rPr>
          <w:rStyle w:val="normaltextrun"/>
          <w:rFonts w:cs="Arial"/>
          <w:shd w:val="clear" w:color="auto" w:fill="FFFFFF"/>
        </w:rPr>
        <w:t xml:space="preserve">The project team </w:t>
      </w:r>
      <w:r w:rsidR="004070BB">
        <w:rPr>
          <w:rStyle w:val="normaltextrun"/>
          <w:rFonts w:cs="Arial"/>
          <w:shd w:val="clear" w:color="auto" w:fill="FFFFFF"/>
        </w:rPr>
        <w:t>is seeking</w:t>
      </w:r>
      <w:r>
        <w:rPr>
          <w:rStyle w:val="normaltextrun"/>
          <w:rFonts w:cs="Arial"/>
          <w:shd w:val="clear" w:color="auto" w:fill="FFFFFF"/>
        </w:rPr>
        <w:t xml:space="preserve"> feedback from consumer and carers on the proposed national scheme to inform</w:t>
      </w:r>
      <w:r w:rsidR="7F411510">
        <w:rPr>
          <w:rStyle w:val="normaltextrun"/>
          <w:rFonts w:cs="Arial"/>
          <w:shd w:val="clear" w:color="auto" w:fill="FFFFFF"/>
        </w:rPr>
        <w:t xml:space="preserve"> how it will be set up and run</w:t>
      </w:r>
      <w:r>
        <w:rPr>
          <w:rStyle w:val="normaltextrun"/>
          <w:rFonts w:cs="Arial"/>
          <w:shd w:val="clear" w:color="auto" w:fill="FFFFFF"/>
        </w:rPr>
        <w:t xml:space="preserve">. </w:t>
      </w:r>
      <w:r w:rsidR="6ADC824F">
        <w:rPr>
          <w:rStyle w:val="normaltextrun"/>
          <w:rFonts w:cs="Arial"/>
          <w:shd w:val="clear" w:color="auto" w:fill="FFFFFF"/>
        </w:rPr>
        <w:t>They will be holding similar consultations</w:t>
      </w:r>
      <w:r>
        <w:rPr>
          <w:rStyle w:val="normaltextrun"/>
          <w:rFonts w:cs="Arial"/>
          <w:shd w:val="clear" w:color="auto" w:fill="FFFFFF"/>
        </w:rPr>
        <w:t xml:space="preserve"> with consumers and carers in all states and territories within Australia.</w:t>
      </w:r>
    </w:p>
    <w:p w14:paraId="300A6FCB" w14:textId="2D6D65D1" w:rsidR="005F386D" w:rsidRDefault="2DB40A05" w:rsidP="779288A1">
      <w:pPr>
        <w:jc w:val="both"/>
        <w:rPr>
          <w:rStyle w:val="normaltextrun"/>
          <w:rFonts w:cs="Arial"/>
        </w:rPr>
      </w:pPr>
      <w:r>
        <w:rPr>
          <w:rStyle w:val="normaltextrun"/>
          <w:rFonts w:cs="Arial"/>
          <w:shd w:val="clear" w:color="auto" w:fill="FFFFFF"/>
        </w:rPr>
        <w:t xml:space="preserve">The </w:t>
      </w:r>
      <w:r w:rsidR="00901749">
        <w:rPr>
          <w:rStyle w:val="normaltextrun"/>
          <w:rFonts w:cs="Arial"/>
          <w:shd w:val="clear" w:color="auto" w:fill="FFFFFF"/>
        </w:rPr>
        <w:t xml:space="preserve">Consultation will focus on the practical implications of the proposed scheme, </w:t>
      </w:r>
      <w:r w:rsidR="7AD3ED57">
        <w:rPr>
          <w:rStyle w:val="normaltextrun"/>
          <w:rFonts w:cs="Arial"/>
          <w:shd w:val="clear" w:color="auto" w:fill="FFFFFF"/>
        </w:rPr>
        <w:t>e.g</w:t>
      </w:r>
      <w:r w:rsidR="47FB0108">
        <w:rPr>
          <w:rStyle w:val="normaltextrun"/>
          <w:rFonts w:cs="Arial"/>
          <w:shd w:val="clear" w:color="auto" w:fill="FFFFFF"/>
        </w:rPr>
        <w:t>:</w:t>
      </w:r>
    </w:p>
    <w:p w14:paraId="12ABA41E" w14:textId="02FB9EE8" w:rsidR="005F386D" w:rsidRDefault="7AD3ED57" w:rsidP="00A07F64">
      <w:pPr>
        <w:pStyle w:val="ListParagraph"/>
        <w:numPr>
          <w:ilvl w:val="0"/>
          <w:numId w:val="1"/>
        </w:numPr>
        <w:jc w:val="both"/>
        <w:rPr>
          <w:rStyle w:val="normaltextrun"/>
          <w:rFonts w:eastAsiaTheme="minorEastAsia"/>
        </w:rPr>
      </w:pPr>
      <w:r>
        <w:rPr>
          <w:rStyle w:val="normaltextrun"/>
          <w:rFonts w:cs="Arial"/>
          <w:shd w:val="clear" w:color="auto" w:fill="FFFFFF"/>
        </w:rPr>
        <w:t>issues around setting it up and puttin</w:t>
      </w:r>
      <w:r w:rsidR="119B7775">
        <w:rPr>
          <w:rStyle w:val="normaltextrun"/>
          <w:rFonts w:cs="Arial"/>
          <w:shd w:val="clear" w:color="auto" w:fill="FFFFFF"/>
        </w:rPr>
        <w:t>g it in place</w:t>
      </w:r>
      <w:r w:rsidR="00901749">
        <w:rPr>
          <w:rStyle w:val="normaltextrun"/>
          <w:rFonts w:cs="Arial"/>
          <w:shd w:val="clear" w:color="auto" w:fill="FFFFFF"/>
        </w:rPr>
        <w:t xml:space="preserve"> </w:t>
      </w:r>
    </w:p>
    <w:p w14:paraId="36771FAE" w14:textId="201A21FD" w:rsidR="005F386D" w:rsidRDefault="57702A53" w:rsidP="00A07F64">
      <w:pPr>
        <w:pStyle w:val="ListParagraph"/>
        <w:numPr>
          <w:ilvl w:val="0"/>
          <w:numId w:val="1"/>
        </w:numPr>
        <w:jc w:val="both"/>
        <w:rPr>
          <w:rStyle w:val="normaltextrun"/>
          <w:rFonts w:eastAsiaTheme="minorEastAsia"/>
        </w:rPr>
      </w:pPr>
      <w:r>
        <w:rPr>
          <w:rStyle w:val="normaltextrun"/>
          <w:rFonts w:cs="Arial"/>
          <w:shd w:val="clear" w:color="auto" w:fill="FFFFFF"/>
        </w:rPr>
        <w:t>t</w:t>
      </w:r>
      <w:r w:rsidR="4C286393">
        <w:rPr>
          <w:rStyle w:val="normaltextrun"/>
          <w:rFonts w:cs="Arial"/>
          <w:shd w:val="clear" w:color="auto" w:fill="FFFFFF"/>
        </w:rPr>
        <w:t>hinking about any</w:t>
      </w:r>
      <w:r w:rsidR="006507D8">
        <w:rPr>
          <w:rStyle w:val="normaltextrun"/>
          <w:rFonts w:cs="Arial"/>
          <w:shd w:val="clear" w:color="auto" w:fill="FFFFFF"/>
        </w:rPr>
        <w:t xml:space="preserve"> </w:t>
      </w:r>
      <w:r w:rsidR="008E291C">
        <w:rPr>
          <w:rStyle w:val="normaltextrun"/>
          <w:rFonts w:cs="Arial"/>
          <w:shd w:val="clear" w:color="auto" w:fill="FFFFFF"/>
        </w:rPr>
        <w:t>unintended consequences,</w:t>
      </w:r>
      <w:r w:rsidR="005F386D">
        <w:rPr>
          <w:rStyle w:val="normaltextrun"/>
          <w:rFonts w:cs="Arial"/>
          <w:shd w:val="clear" w:color="auto" w:fill="FFFFFF"/>
        </w:rPr>
        <w:t xml:space="preserve">  </w:t>
      </w:r>
    </w:p>
    <w:p w14:paraId="3494DE46" w14:textId="5569BAA3" w:rsidR="005F386D" w:rsidRDefault="005F386D" w:rsidP="00A07F64">
      <w:pPr>
        <w:pStyle w:val="ListParagraph"/>
        <w:numPr>
          <w:ilvl w:val="0"/>
          <w:numId w:val="1"/>
        </w:numPr>
        <w:jc w:val="both"/>
        <w:rPr>
          <w:rStyle w:val="normaltextrun"/>
          <w:rFonts w:eastAsiaTheme="minorEastAsia"/>
        </w:rPr>
      </w:pPr>
      <w:r>
        <w:rPr>
          <w:rStyle w:val="normaltextrun"/>
          <w:rFonts w:cs="Arial"/>
          <w:shd w:val="clear" w:color="auto" w:fill="FFFFFF"/>
        </w:rPr>
        <w:t>any barriers or opportunities for the effective functioning of the scheme,</w:t>
      </w:r>
    </w:p>
    <w:p w14:paraId="264C88D4" w14:textId="2311C602" w:rsidR="006507D8" w:rsidRPr="00A21D79" w:rsidRDefault="00F24DC3" w:rsidP="00A21D79">
      <w:pPr>
        <w:pStyle w:val="ListParagraph"/>
        <w:numPr>
          <w:ilvl w:val="0"/>
          <w:numId w:val="1"/>
        </w:numPr>
        <w:jc w:val="both"/>
        <w:rPr>
          <w:rStyle w:val="normaltextrun"/>
          <w:rFonts w:eastAsiaTheme="minorEastAsia"/>
          <w:shd w:val="clear" w:color="auto" w:fill="FFFFFF"/>
        </w:rPr>
      </w:pPr>
      <w:r>
        <w:rPr>
          <w:rStyle w:val="normaltextrun"/>
          <w:rFonts w:cs="Arial"/>
          <w:shd w:val="clear" w:color="auto" w:fill="FFFFFF"/>
        </w:rPr>
        <w:t>how</w:t>
      </w:r>
      <w:r w:rsidR="2AFDD468">
        <w:rPr>
          <w:rStyle w:val="normaltextrun"/>
          <w:rFonts w:cs="Arial"/>
          <w:shd w:val="clear" w:color="auto" w:fill="FFFFFF"/>
        </w:rPr>
        <w:t xml:space="preserve"> best</w:t>
      </w:r>
      <w:r>
        <w:rPr>
          <w:rStyle w:val="normaltextrun"/>
          <w:rFonts w:cs="Arial"/>
          <w:shd w:val="clear" w:color="auto" w:fill="FFFFFF"/>
        </w:rPr>
        <w:t xml:space="preserve"> </w:t>
      </w:r>
      <w:r w:rsidR="41412C63">
        <w:rPr>
          <w:rStyle w:val="normaltextrun"/>
          <w:rFonts w:cs="Arial"/>
          <w:shd w:val="clear" w:color="auto" w:fill="FFFFFF"/>
        </w:rPr>
        <w:t xml:space="preserve">to communicate information about the scheme </w:t>
      </w:r>
    </w:p>
    <w:p w14:paraId="7BE612C4" w14:textId="77777777" w:rsidR="00A21D79" w:rsidRPr="00A21D79" w:rsidRDefault="00A21D79" w:rsidP="00A21D79">
      <w:pPr>
        <w:pStyle w:val="ListParagraph"/>
        <w:ind w:left="720"/>
        <w:jc w:val="both"/>
        <w:rPr>
          <w:rStyle w:val="Hyperlink"/>
          <w:rFonts w:eastAsiaTheme="minorEastAsia"/>
          <w:color w:val="auto"/>
          <w:u w:val="none"/>
          <w:shd w:val="clear" w:color="auto" w:fill="FFFFFF"/>
        </w:rPr>
      </w:pPr>
    </w:p>
    <w:p w14:paraId="62176A3D" w14:textId="6129EA9B" w:rsidR="08171328" w:rsidRPr="007A533C" w:rsidRDefault="08171328" w:rsidP="007A533C">
      <w:pPr>
        <w:ind w:right="-755"/>
        <w:jc w:val="both"/>
        <w:rPr>
          <w:rStyle w:val="Hyperlink"/>
          <w:rFonts w:cstheme="minorHAnsi"/>
          <w:b/>
          <w:color w:val="9B1D54"/>
          <w:sz w:val="28"/>
          <w:szCs w:val="28"/>
          <w:u w:val="none"/>
        </w:rPr>
      </w:pPr>
      <w:r w:rsidRPr="007A533C">
        <w:rPr>
          <w:rStyle w:val="Hyperlink"/>
          <w:rFonts w:cstheme="minorHAnsi"/>
          <w:b/>
          <w:color w:val="9B1D54"/>
          <w:sz w:val="28"/>
          <w:szCs w:val="28"/>
          <w:u w:val="none"/>
        </w:rPr>
        <w:t>Who is this for</w:t>
      </w:r>
      <w:r w:rsidR="006507D8">
        <w:rPr>
          <w:rStyle w:val="Hyperlink"/>
          <w:rFonts w:cstheme="minorHAnsi"/>
          <w:b/>
          <w:color w:val="9B1D54"/>
          <w:sz w:val="28"/>
          <w:szCs w:val="28"/>
          <w:u w:val="none"/>
        </w:rPr>
        <w:t>?</w:t>
      </w:r>
    </w:p>
    <w:p w14:paraId="695F7A0F" w14:textId="48D66984" w:rsidR="007A533C" w:rsidRDefault="007A533C" w:rsidP="779288A1">
      <w:pPr>
        <w:jc w:val="both"/>
        <w:rPr>
          <w:rStyle w:val="normaltextrun"/>
          <w:rFonts w:cs="Arial"/>
        </w:rPr>
      </w:pPr>
      <w:r>
        <w:rPr>
          <w:rStyle w:val="normaltextrun"/>
          <w:rFonts w:cs="Arial"/>
        </w:rPr>
        <w:t>This opportunity is for:</w:t>
      </w:r>
    </w:p>
    <w:p w14:paraId="786CB602" w14:textId="6A68DA61" w:rsidR="08171328" w:rsidRPr="007A533C" w:rsidRDefault="007A533C" w:rsidP="007A533C">
      <w:pPr>
        <w:pStyle w:val="ListParagraph"/>
        <w:numPr>
          <w:ilvl w:val="0"/>
          <w:numId w:val="16"/>
        </w:numPr>
        <w:jc w:val="both"/>
        <w:rPr>
          <w:rStyle w:val="normaltextrun"/>
          <w:rFonts w:cs="Arial"/>
        </w:rPr>
      </w:pPr>
      <w:r w:rsidRPr="007A533C">
        <w:rPr>
          <w:rStyle w:val="normaltextrun"/>
          <w:rFonts w:cs="Arial"/>
        </w:rPr>
        <w:t>people with a lived experience</w:t>
      </w:r>
      <w:r w:rsidR="006507D8">
        <w:rPr>
          <w:rStyle w:val="normaltextrun"/>
          <w:rFonts w:cs="Arial"/>
        </w:rPr>
        <w:t>,</w:t>
      </w:r>
      <w:r w:rsidRPr="007A533C">
        <w:rPr>
          <w:rStyle w:val="normaltextrun"/>
          <w:rFonts w:cs="Arial"/>
        </w:rPr>
        <w:t xml:space="preserve"> as a consumer</w:t>
      </w:r>
      <w:r w:rsidR="006507D8">
        <w:rPr>
          <w:rStyle w:val="normaltextrun"/>
          <w:rFonts w:cs="Arial"/>
        </w:rPr>
        <w:t>,</w:t>
      </w:r>
      <w:r w:rsidRPr="007A533C">
        <w:rPr>
          <w:rStyle w:val="normaltextrun"/>
          <w:rFonts w:cs="Arial"/>
        </w:rPr>
        <w:t xml:space="preserve"> of receiving involuntary mental health treatment while moving to or out or Queensland; and </w:t>
      </w:r>
    </w:p>
    <w:p w14:paraId="1462D361" w14:textId="5AF975F6" w:rsidR="007A533C" w:rsidRDefault="007A533C" w:rsidP="007A533C">
      <w:pPr>
        <w:pStyle w:val="ListParagraph"/>
        <w:numPr>
          <w:ilvl w:val="0"/>
          <w:numId w:val="16"/>
        </w:numPr>
        <w:jc w:val="both"/>
        <w:rPr>
          <w:rStyle w:val="normaltextrun"/>
          <w:rFonts w:cs="Arial"/>
        </w:rPr>
      </w:pPr>
      <w:r>
        <w:rPr>
          <w:rStyle w:val="normaltextrun"/>
          <w:rFonts w:cs="Arial"/>
        </w:rPr>
        <w:t>p</w:t>
      </w:r>
      <w:r w:rsidRPr="007A533C">
        <w:rPr>
          <w:rStyle w:val="normaltextrun"/>
          <w:rFonts w:cs="Arial"/>
        </w:rPr>
        <w:t>eople who have a lived experience</w:t>
      </w:r>
      <w:r w:rsidR="006507D8">
        <w:rPr>
          <w:rStyle w:val="normaltextrun"/>
          <w:rFonts w:cs="Arial"/>
        </w:rPr>
        <w:t>,</w:t>
      </w:r>
      <w:r w:rsidRPr="007A533C">
        <w:rPr>
          <w:rStyle w:val="normaltextrun"/>
          <w:rFonts w:cs="Arial"/>
        </w:rPr>
        <w:t xml:space="preserve"> as a carer for a consumer</w:t>
      </w:r>
      <w:r w:rsidR="006507D8">
        <w:rPr>
          <w:rStyle w:val="normaltextrun"/>
          <w:rFonts w:cs="Arial"/>
        </w:rPr>
        <w:t>,</w:t>
      </w:r>
      <w:r w:rsidRPr="007A533C">
        <w:rPr>
          <w:rStyle w:val="normaltextrun"/>
          <w:rFonts w:cs="Arial"/>
        </w:rPr>
        <w:t xml:space="preserve"> of receiving involuntary mental health treatment while moving to or out o</w:t>
      </w:r>
      <w:r w:rsidR="006507D8">
        <w:rPr>
          <w:rStyle w:val="normaltextrun"/>
          <w:rFonts w:cs="Arial"/>
        </w:rPr>
        <w:t>f</w:t>
      </w:r>
      <w:r w:rsidRPr="007A533C">
        <w:rPr>
          <w:rStyle w:val="normaltextrun"/>
          <w:rFonts w:cs="Arial"/>
        </w:rPr>
        <w:t xml:space="preserve"> Queensland.</w:t>
      </w:r>
    </w:p>
    <w:p w14:paraId="50EA18DC" w14:textId="77777777" w:rsidR="007A533C" w:rsidRPr="007A533C" w:rsidRDefault="007A533C" w:rsidP="007A533C">
      <w:pPr>
        <w:pStyle w:val="ListParagraph"/>
        <w:ind w:left="720"/>
        <w:jc w:val="both"/>
        <w:rPr>
          <w:rStyle w:val="normaltextrun"/>
          <w:rFonts w:cs="Arial"/>
        </w:rPr>
      </w:pPr>
    </w:p>
    <w:p w14:paraId="036A0D6B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27B50808" w14:textId="77777777" w:rsidR="00F24DC3" w:rsidRPr="00323ABA" w:rsidRDefault="005F386D" w:rsidP="00356C0B">
      <w:pPr>
        <w:ind w:right="-755"/>
        <w:rPr>
          <w:rStyle w:val="Hyperlink"/>
          <w:b/>
          <w:color w:val="auto"/>
          <w:u w:val="none"/>
        </w:rPr>
      </w:pPr>
      <w:r w:rsidRPr="00323ABA">
        <w:rPr>
          <w:rStyle w:val="Hyperlink"/>
          <w:b/>
          <w:color w:val="auto"/>
          <w:u w:val="none"/>
        </w:rPr>
        <w:t xml:space="preserve">Participation will include one consultation session of up to two hours. </w:t>
      </w:r>
    </w:p>
    <w:p w14:paraId="46C1CDC2" w14:textId="77777777" w:rsidR="00323ABA" w:rsidRPr="00323ABA" w:rsidRDefault="005F386D" w:rsidP="00356C0B">
      <w:pPr>
        <w:ind w:right="-755"/>
        <w:rPr>
          <w:rStyle w:val="Hyperlink"/>
          <w:bCs/>
          <w:color w:val="auto"/>
          <w:u w:val="none"/>
        </w:rPr>
      </w:pPr>
      <w:r w:rsidRPr="00323ABA">
        <w:rPr>
          <w:rStyle w:val="Hyperlink"/>
          <w:bCs/>
          <w:color w:val="auto"/>
          <w:u w:val="none"/>
        </w:rPr>
        <w:t>A</w:t>
      </w:r>
      <w:r w:rsidR="007E0D68" w:rsidRPr="00323ABA">
        <w:rPr>
          <w:rStyle w:val="Hyperlink"/>
          <w:bCs/>
          <w:color w:val="auto"/>
          <w:u w:val="none"/>
        </w:rPr>
        <w:t xml:space="preserve">ccess to a computer and reliable internet service would be ideal as meetings </w:t>
      </w:r>
      <w:r w:rsidRPr="00323ABA">
        <w:rPr>
          <w:rStyle w:val="Hyperlink"/>
          <w:bCs/>
          <w:color w:val="auto"/>
          <w:u w:val="none"/>
        </w:rPr>
        <w:t>will</w:t>
      </w:r>
      <w:r w:rsidR="00323ABA" w:rsidRPr="00323ABA">
        <w:rPr>
          <w:rStyle w:val="Hyperlink"/>
          <w:bCs/>
          <w:color w:val="auto"/>
          <w:u w:val="none"/>
        </w:rPr>
        <w:t xml:space="preserve"> </w:t>
      </w:r>
      <w:r w:rsidRPr="00323ABA">
        <w:rPr>
          <w:rStyle w:val="Hyperlink"/>
          <w:bCs/>
          <w:color w:val="auto"/>
          <w:u w:val="none"/>
        </w:rPr>
        <w:t>be</w:t>
      </w:r>
      <w:r w:rsidR="007E0D68" w:rsidRPr="00323ABA">
        <w:rPr>
          <w:rStyle w:val="Hyperlink"/>
          <w:bCs/>
          <w:color w:val="auto"/>
          <w:u w:val="none"/>
        </w:rPr>
        <w:t xml:space="preserve"> held vi</w:t>
      </w:r>
      <w:r w:rsidR="00356C0B" w:rsidRPr="00323ABA">
        <w:rPr>
          <w:rStyle w:val="Hyperlink"/>
          <w:bCs/>
          <w:color w:val="auto"/>
          <w:u w:val="none"/>
        </w:rPr>
        <w:t>rtually</w:t>
      </w:r>
      <w:r w:rsidR="007E0D68" w:rsidRPr="00323ABA">
        <w:rPr>
          <w:rStyle w:val="Hyperlink"/>
          <w:bCs/>
          <w:color w:val="auto"/>
          <w:u w:val="none"/>
        </w:rPr>
        <w:t>.</w:t>
      </w:r>
      <w:r w:rsidR="00F24DC3" w:rsidRPr="00323ABA">
        <w:rPr>
          <w:rStyle w:val="Hyperlink"/>
          <w:bCs/>
          <w:color w:val="auto"/>
          <w:u w:val="none"/>
        </w:rPr>
        <w:t xml:space="preserve"> </w:t>
      </w:r>
    </w:p>
    <w:p w14:paraId="50E91721" w14:textId="2F2F3642" w:rsidR="00F24DC3" w:rsidRPr="00323ABA" w:rsidRDefault="007A24EA" w:rsidP="00356C0B">
      <w:pPr>
        <w:ind w:right="-755"/>
        <w:rPr>
          <w:rStyle w:val="Hyperlink"/>
          <w:bCs/>
          <w:color w:val="auto"/>
          <w:u w:val="none"/>
        </w:rPr>
      </w:pPr>
      <w:r w:rsidRPr="00323ABA">
        <w:rPr>
          <w:rStyle w:val="Hyperlink"/>
          <w:bCs/>
          <w:color w:val="auto"/>
          <w:u w:val="none"/>
        </w:rPr>
        <w:t xml:space="preserve">Virtual meetings will be conducted via Microsoft Teams. </w:t>
      </w:r>
      <w:r w:rsidRPr="00323ABA">
        <w:t xml:space="preserve">Support to set up Microsoft Teams on devices and an overview of how to utilise the software can be provided to consumers and carer representatives if required. </w:t>
      </w:r>
      <w:r w:rsidR="00356C0B" w:rsidRPr="00323ABA">
        <w:rPr>
          <w:rStyle w:val="Hyperlink"/>
          <w:bCs/>
          <w:color w:val="auto"/>
          <w:u w:val="none"/>
        </w:rPr>
        <w:t xml:space="preserve"> </w:t>
      </w:r>
    </w:p>
    <w:p w14:paraId="48359E3E" w14:textId="39DCE222" w:rsidR="007E0D68" w:rsidRPr="007E0D68" w:rsidRDefault="00323ABA" w:rsidP="00356C0B">
      <w:pPr>
        <w:ind w:right="-755"/>
      </w:pPr>
      <w:r w:rsidRPr="00323ABA">
        <w:rPr>
          <w:rStyle w:val="Hyperlink"/>
          <w:bCs/>
          <w:color w:val="auto"/>
          <w:u w:val="none"/>
        </w:rPr>
        <w:t xml:space="preserve">Use of </w:t>
      </w:r>
      <w:r w:rsidR="003F57B2" w:rsidRPr="00323ABA">
        <w:t>Microsoft Teams</w:t>
      </w:r>
      <w:r w:rsidR="00356C0B" w:rsidRPr="00323ABA">
        <w:t xml:space="preserve"> will</w:t>
      </w:r>
      <w:r w:rsidR="003F57B2" w:rsidRPr="00323ABA">
        <w:t xml:space="preserve"> ensure </w:t>
      </w:r>
      <w:r w:rsidRPr="00323ABA">
        <w:t>individuals</w:t>
      </w:r>
      <w:r w:rsidR="003F57B2" w:rsidRPr="00323ABA">
        <w:t xml:space="preserve"> from across the state are able to attend.</w:t>
      </w:r>
      <w:r w:rsidR="003F57B2">
        <w:t xml:space="preserve"> </w:t>
      </w:r>
    </w:p>
    <w:p w14:paraId="5078B6D1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6E0C8922" w14:textId="53F41AA2" w:rsidR="00BF1898" w:rsidRDefault="00A50101" w:rsidP="00FE3C6B">
      <w:pPr>
        <w:autoSpaceDE w:val="0"/>
        <w:autoSpaceDN w:val="0"/>
        <w:adjustRightInd w:val="0"/>
        <w:spacing w:after="120" w:line="240" w:lineRule="auto"/>
        <w:jc w:val="both"/>
        <w:rPr>
          <w:bCs/>
        </w:rPr>
      </w:pPr>
      <w:r w:rsidRPr="00A50101">
        <w:rPr>
          <w:bCs/>
        </w:rPr>
        <w:t>Consumer and carer</w:t>
      </w:r>
      <w:r>
        <w:rPr>
          <w:bCs/>
        </w:rPr>
        <w:t xml:space="preserve"> </w:t>
      </w:r>
      <w:r w:rsidR="00E66173">
        <w:rPr>
          <w:bCs/>
        </w:rPr>
        <w:t>participants</w:t>
      </w:r>
      <w:r w:rsidR="00D8375F">
        <w:rPr>
          <w:bCs/>
        </w:rPr>
        <w:t xml:space="preserve"> will be remunerated </w:t>
      </w:r>
      <w:r w:rsidR="00BF1898" w:rsidRPr="00DE276A">
        <w:t xml:space="preserve">for their time in line with </w:t>
      </w:r>
      <w:hyperlink r:id="rId12" w:history="1">
        <w:r w:rsidR="00BF1898" w:rsidRPr="00671551">
          <w:rPr>
            <w:rStyle w:val="Hyperlink"/>
          </w:rPr>
          <w:t>Health Consumers Queensland’s remuneration position statement</w:t>
        </w:r>
      </w:hyperlink>
      <w:r w:rsidR="00FB2682">
        <w:rPr>
          <w:rStyle w:val="Hyperlink"/>
        </w:rPr>
        <w:t xml:space="preserve"> </w:t>
      </w:r>
      <w:r w:rsidR="00D8375F">
        <w:rPr>
          <w:bCs/>
        </w:rPr>
        <w:t xml:space="preserve">at </w:t>
      </w:r>
      <w:r w:rsidR="00FB2682">
        <w:rPr>
          <w:bCs/>
        </w:rPr>
        <w:t>the</w:t>
      </w:r>
      <w:r w:rsidR="00D8375F">
        <w:rPr>
          <w:bCs/>
        </w:rPr>
        <w:t xml:space="preserve"> rate of $40 per hour</w:t>
      </w:r>
      <w:r w:rsidR="00EB201A">
        <w:rPr>
          <w:bCs/>
        </w:rPr>
        <w:t xml:space="preserve">. </w:t>
      </w:r>
    </w:p>
    <w:p w14:paraId="0C260D56" w14:textId="6E05A29B" w:rsidR="00EB201A" w:rsidRDefault="00323ABA" w:rsidP="00FE3C6B">
      <w:pPr>
        <w:autoSpaceDE w:val="0"/>
        <w:autoSpaceDN w:val="0"/>
        <w:adjustRightInd w:val="0"/>
        <w:spacing w:after="120" w:line="240" w:lineRule="auto"/>
        <w:jc w:val="both"/>
      </w:pPr>
      <w:r>
        <w:t>Consultation</w:t>
      </w:r>
      <w:r w:rsidR="00BF1898" w:rsidRPr="007A24EA">
        <w:t xml:space="preserve"> will be conducted via</w:t>
      </w:r>
      <w:r w:rsidR="00EB201A" w:rsidRPr="007A24EA">
        <w:t xml:space="preserve"> Microsoft Teams</w:t>
      </w:r>
      <w:r w:rsidR="00B10CAF">
        <w:t xml:space="preserve"> videoconference</w:t>
      </w:r>
      <w:r w:rsidR="00EB201A" w:rsidRPr="007A24EA">
        <w:t xml:space="preserve"> </w:t>
      </w:r>
      <w:r w:rsidR="00FB2682" w:rsidRPr="007A24EA">
        <w:t>and therefore</w:t>
      </w:r>
      <w:r w:rsidR="001C5C1C" w:rsidRPr="007A24EA">
        <w:t xml:space="preserve"> </w:t>
      </w:r>
      <w:r w:rsidR="000161F9" w:rsidRPr="007A24EA">
        <w:t xml:space="preserve">parking or travel expenses </w:t>
      </w:r>
      <w:r>
        <w:t>should</w:t>
      </w:r>
      <w:r w:rsidR="007A24EA" w:rsidRPr="007A24EA">
        <w:t xml:space="preserve"> not be</w:t>
      </w:r>
      <w:r w:rsidR="000161F9" w:rsidRPr="007A24EA">
        <w:t xml:space="preserve"> incurred. </w:t>
      </w:r>
      <w:r w:rsidR="00E37ADD" w:rsidRPr="007A24EA">
        <w:t>However,</w:t>
      </w:r>
      <w:r w:rsidR="002D7305" w:rsidRPr="007A24EA">
        <w:t xml:space="preserve"> </w:t>
      </w:r>
      <w:r>
        <w:t>should travel be required</w:t>
      </w:r>
      <w:r w:rsidR="002D7305" w:rsidRPr="007A24EA">
        <w:t>, they will be covered.</w:t>
      </w:r>
      <w:r w:rsidR="002D7305">
        <w:t xml:space="preserve"> </w:t>
      </w:r>
      <w:r w:rsidR="00BF1898">
        <w:t xml:space="preserve"> </w:t>
      </w:r>
    </w:p>
    <w:p w14:paraId="4247FFBE" w14:textId="5F1CB468" w:rsidR="00E71AAD" w:rsidRPr="003F57B2" w:rsidRDefault="3BCFDE1A" w:rsidP="00FE3C6B">
      <w:pPr>
        <w:autoSpaceDE w:val="0"/>
        <w:autoSpaceDN w:val="0"/>
        <w:adjustRightInd w:val="0"/>
        <w:spacing w:after="120" w:line="240" w:lineRule="auto"/>
        <w:jc w:val="both"/>
      </w:pPr>
      <w:r>
        <w:t>S</w:t>
      </w:r>
      <w:r w:rsidR="00E71AAD">
        <w:t>haring experiences of receiving, or supporting a person receiving</w:t>
      </w:r>
      <w:r w:rsidR="00873CA5">
        <w:t>,</w:t>
      </w:r>
      <w:r w:rsidR="00E71AAD">
        <w:t xml:space="preserve"> involuntary care may be distressing.</w:t>
      </w:r>
      <w:r w:rsidR="00873CA5">
        <w:t xml:space="preserve"> Participants are encouraged to consider their need for a support person and where necessary ensure they have adequate support to engage in the consultation.    </w:t>
      </w:r>
      <w:r w:rsidR="00E71AAD">
        <w:t xml:space="preserve">  </w:t>
      </w:r>
    </w:p>
    <w:p w14:paraId="017AE9A1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636188D9" w14:textId="3002DC20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3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="003C2EF5" w:rsidRPr="003C2EF5">
        <w:rPr>
          <w:rStyle w:val="Hyperlink"/>
          <w:color w:val="auto"/>
          <w:u w:val="none"/>
        </w:rPr>
        <w:t>9am Monday, 26 February 202</w:t>
      </w:r>
      <w:r w:rsidR="003C2EF5">
        <w:rPr>
          <w:rStyle w:val="Hyperlink"/>
          <w:color w:val="auto"/>
          <w:u w:val="none"/>
        </w:rPr>
        <w:t>1</w:t>
      </w:r>
      <w:r w:rsidR="002D74C5" w:rsidRPr="00713FFC">
        <w:rPr>
          <w:rStyle w:val="Hyperlink"/>
          <w:b/>
          <w:bCs/>
          <w:color w:val="auto"/>
          <w:u w:val="none"/>
        </w:rPr>
        <w:t>.</w:t>
      </w:r>
      <w:r w:rsidR="002D74C5">
        <w:rPr>
          <w:rStyle w:val="Hyperlink"/>
          <w:color w:val="auto"/>
          <w:u w:val="none"/>
        </w:rPr>
        <w:t xml:space="preserve"> </w:t>
      </w:r>
      <w:r w:rsidRPr="00996C71">
        <w:rPr>
          <w:rStyle w:val="Hyperlink"/>
          <w:b/>
          <w:color w:val="auto"/>
        </w:rPr>
        <w:t xml:space="preserve"> </w:t>
      </w:r>
    </w:p>
    <w:p w14:paraId="2C25D072" w14:textId="49B95905" w:rsidR="00323ABA" w:rsidRDefault="007A67B5" w:rsidP="00F36882">
      <w:r w:rsidRPr="00F274C6">
        <w:t xml:space="preserve">For assistance please contact Health Consumers Queensland via </w:t>
      </w:r>
      <w:hyperlink r:id="rId14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</w:t>
      </w:r>
      <w:r w:rsidRPr="004070BB">
        <w:t>07 3012 9090.</w:t>
      </w:r>
    </w:p>
    <w:p w14:paraId="6698EFC7" w14:textId="77777777" w:rsidR="00344282" w:rsidRPr="00344282" w:rsidRDefault="00344282" w:rsidP="00F36882"/>
    <w:p w14:paraId="39439E18" w14:textId="4322E130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7636FF89" w14:textId="77777777" w:rsidR="00323ABA" w:rsidRPr="00323ABA" w:rsidRDefault="00323ABA" w:rsidP="00323ABA">
      <w:pPr>
        <w:jc w:val="center"/>
        <w:rPr>
          <w:b/>
          <w:sz w:val="32"/>
          <w:szCs w:val="24"/>
        </w:rPr>
      </w:pPr>
      <w:r w:rsidRPr="00323ABA">
        <w:rPr>
          <w:b/>
          <w:sz w:val="32"/>
          <w:szCs w:val="24"/>
        </w:rPr>
        <w:t xml:space="preserve">Participation in consumer and carer consultation for a national scheme for recognition of civil involuntary mental health orders </w:t>
      </w:r>
    </w:p>
    <w:p w14:paraId="6BEB2AF1" w14:textId="77777777" w:rsidR="00323ABA" w:rsidRDefault="00323ABA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223B14DA" w14:textId="2C0C38C8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4F9BACDC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22436092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0DDC830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5F9C6489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0DC9BB4E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F236985" w14:textId="77777777" w:rsidR="008C3230" w:rsidRPr="00567FA9" w:rsidRDefault="008C3230" w:rsidP="009D66F5">
      <w:pPr>
        <w:pStyle w:val="StaffH1"/>
        <w:numPr>
          <w:ilvl w:val="0"/>
          <w:numId w:val="2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5C93C00C" w14:textId="77777777" w:rsidR="008C3230" w:rsidRPr="00567FA9" w:rsidRDefault="008C3230" w:rsidP="008C3230">
      <w:pPr>
        <w:pStyle w:val="StaffH1"/>
        <w:numPr>
          <w:ilvl w:val="0"/>
          <w:numId w:val="2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B3B770F" w14:textId="77777777" w:rsidR="008C3230" w:rsidRPr="00567FA9" w:rsidRDefault="008C3230" w:rsidP="008C3230">
      <w:pPr>
        <w:pStyle w:val="StaffH1"/>
        <w:numPr>
          <w:ilvl w:val="0"/>
          <w:numId w:val="2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2353471A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5"/>
          <w:footerReference w:type="default" r:id="rId16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4C9D6164" w14:textId="77777777" w:rsidR="006507D8" w:rsidRDefault="006507D8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</w:p>
    <w:p w14:paraId="1C499039" w14:textId="0156364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4D2E8D5C" w14:textId="77777777" w:rsidR="008C3230" w:rsidRPr="00567FA9" w:rsidRDefault="008C3230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1F4636" w14:textId="046B4412" w:rsidR="007A24EA" w:rsidRDefault="00C63988" w:rsidP="006C2824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Lived experience of mental illness and r</w:t>
      </w:r>
      <w:r w:rsidR="007A24EA" w:rsidRPr="007A24EA">
        <w:rPr>
          <w:rFonts w:asciiTheme="minorHAnsi" w:hAnsiTheme="minorHAnsi" w:cstheme="minorHAnsi"/>
          <w:b w:val="0"/>
          <w:color w:val="auto"/>
          <w:sz w:val="22"/>
        </w:rPr>
        <w:t xml:space="preserve">eceived treatment under </w:t>
      </w:r>
      <w:r w:rsidR="0028530B" w:rsidRPr="007A24EA">
        <w:rPr>
          <w:rFonts w:asciiTheme="minorHAnsi" w:hAnsiTheme="minorHAnsi" w:cstheme="minorHAnsi"/>
          <w:b w:val="0"/>
          <w:color w:val="auto"/>
          <w:sz w:val="22"/>
        </w:rPr>
        <w:t xml:space="preserve">the </w:t>
      </w:r>
      <w:r w:rsidR="0028530B" w:rsidRPr="007A24EA">
        <w:rPr>
          <w:rFonts w:asciiTheme="minorHAnsi" w:hAnsiTheme="minorHAnsi" w:cstheme="minorHAnsi"/>
          <w:b w:val="0"/>
          <w:i/>
          <w:color w:val="auto"/>
          <w:sz w:val="22"/>
        </w:rPr>
        <w:t>Mental Health Act 2016</w:t>
      </w:r>
      <w:r w:rsidR="007A24EA" w:rsidRPr="007A24EA">
        <w:rPr>
          <w:rFonts w:asciiTheme="minorHAnsi" w:hAnsiTheme="minorHAnsi" w:cstheme="minorHAnsi"/>
          <w:b w:val="0"/>
          <w:color w:val="auto"/>
          <w:sz w:val="22"/>
        </w:rPr>
        <w:t xml:space="preserve"> and/or other legislation authorising involuntary mental health treatment in Australian states and territories.</w:t>
      </w:r>
    </w:p>
    <w:p w14:paraId="51C425BE" w14:textId="6FC153BE" w:rsidR="00C63988" w:rsidRPr="00C63988" w:rsidRDefault="00C63988" w:rsidP="00C63988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 xml:space="preserve">Lived experience caring for </w:t>
      </w:r>
      <w:r w:rsidRPr="007A24EA">
        <w:rPr>
          <w:rFonts w:asciiTheme="minorHAnsi" w:hAnsiTheme="minorHAnsi" w:cstheme="minorHAnsi"/>
          <w:b w:val="0"/>
          <w:color w:val="auto"/>
          <w:sz w:val="22"/>
        </w:rPr>
        <w:t xml:space="preserve">someone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with mental illness </w:t>
      </w:r>
      <w:r w:rsidRPr="007A24EA">
        <w:rPr>
          <w:rFonts w:asciiTheme="minorHAnsi" w:hAnsiTheme="minorHAnsi" w:cstheme="minorHAnsi"/>
          <w:b w:val="0"/>
          <w:color w:val="auto"/>
          <w:sz w:val="22"/>
        </w:rPr>
        <w:t>receiving treatment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A24EA">
        <w:rPr>
          <w:rFonts w:asciiTheme="minorHAnsi" w:hAnsiTheme="minorHAnsi" w:cstheme="minorHAnsi"/>
          <w:b w:val="0"/>
          <w:color w:val="auto"/>
          <w:sz w:val="22"/>
        </w:rPr>
        <w:t xml:space="preserve">under the </w:t>
      </w:r>
      <w:r w:rsidRPr="007A24EA">
        <w:rPr>
          <w:rFonts w:asciiTheme="minorHAnsi" w:hAnsiTheme="minorHAnsi" w:cstheme="minorHAnsi"/>
          <w:b w:val="0"/>
          <w:i/>
          <w:color w:val="auto"/>
          <w:sz w:val="22"/>
        </w:rPr>
        <w:t>Mental Health Act 2016</w:t>
      </w:r>
      <w:r w:rsidRPr="007A24EA">
        <w:rPr>
          <w:rFonts w:asciiTheme="minorHAnsi" w:hAnsiTheme="minorHAnsi" w:cstheme="minorHAnsi"/>
          <w:b w:val="0"/>
          <w:color w:val="auto"/>
          <w:sz w:val="22"/>
        </w:rPr>
        <w:t xml:space="preserve"> and/or other legislation authorising involuntary mental health treatment in Australian states and territories.</w:t>
      </w:r>
    </w:p>
    <w:p w14:paraId="0DF1D42C" w14:textId="130DA000" w:rsidR="008C3230" w:rsidRPr="00567FA9" w:rsidRDefault="008C3230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116555FB" w14:textId="77777777" w:rsidR="008C3230" w:rsidRPr="00567FA9" w:rsidRDefault="008C3230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77A04849" w14:textId="77777777" w:rsidR="008C3230" w:rsidRPr="00567FA9" w:rsidRDefault="008C3230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5B020B02" w14:textId="77777777" w:rsidR="008C3230" w:rsidRPr="00567FA9" w:rsidRDefault="008C3230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786D3A8B" w14:textId="77777777" w:rsidR="008C3230" w:rsidRDefault="008C3230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116BD924" w14:textId="77777777" w:rsidR="00B75112" w:rsidRPr="00567FA9" w:rsidRDefault="00B75112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7175EA41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3A8B7F2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AA5B455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1203C632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35D7312D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B8649FE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09D1430F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14E70F01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064940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34FBEF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B1D7F2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B60367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D71DD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F61741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3EC1AF5C" w14:textId="644C1624" w:rsidR="00F408E6" w:rsidRPr="00F408E6" w:rsidRDefault="00F408E6" w:rsidP="00F408E6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bookmarkStart w:id="0" w:name="_Hlk57387706"/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0780264C" w14:textId="1089FACD" w:rsidR="009D66F5" w:rsidRPr="00873CA5" w:rsidRDefault="009D66F5" w:rsidP="007E575B">
      <w:pPr>
        <w:pStyle w:val="StaffH1"/>
        <w:numPr>
          <w:ilvl w:val="0"/>
          <w:numId w:val="15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873CA5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E71AAD" w:rsidRPr="00873CA5">
        <w:rPr>
          <w:rFonts w:asciiTheme="minorHAnsi" w:hAnsiTheme="minorHAnsi" w:cstheme="minorHAnsi"/>
          <w:color w:val="auto"/>
          <w:sz w:val="22"/>
        </w:rPr>
        <w:t>?</w:t>
      </w:r>
      <w:r w:rsidR="007B1118" w:rsidRPr="00873CA5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873CA5">
        <w:rPr>
          <w:rFonts w:asciiTheme="minorHAnsi" w:hAnsiTheme="minorHAnsi" w:cstheme="minorHAnsi"/>
          <w:b w:val="0"/>
          <w:i/>
          <w:color w:val="auto"/>
          <w:sz w:val="22"/>
        </w:rPr>
        <w:t>(</w:t>
      </w:r>
      <w:r w:rsidR="00E71AAD" w:rsidRPr="00873CA5">
        <w:rPr>
          <w:rFonts w:asciiTheme="minorHAnsi" w:hAnsiTheme="minorHAnsi" w:cstheme="minorHAnsi"/>
          <w:b w:val="0"/>
          <w:i/>
          <w:color w:val="auto"/>
          <w:sz w:val="22"/>
        </w:rPr>
        <w:t>For examples</w:t>
      </w:r>
      <w:r w:rsidR="00745073" w:rsidRPr="00873CA5">
        <w:rPr>
          <w:rFonts w:asciiTheme="minorHAnsi" w:hAnsiTheme="minorHAnsi" w:cstheme="minorHAnsi"/>
          <w:b w:val="0"/>
          <w:i/>
          <w:color w:val="auto"/>
          <w:sz w:val="22"/>
        </w:rPr>
        <w:t xml:space="preserve"> interpreters</w:t>
      </w:r>
      <w:r w:rsidR="003A4446">
        <w:rPr>
          <w:rFonts w:asciiTheme="minorHAnsi" w:hAnsiTheme="minorHAnsi" w:cstheme="minorHAnsi"/>
          <w:b w:val="0"/>
          <w:i/>
          <w:color w:val="auto"/>
          <w:sz w:val="22"/>
        </w:rPr>
        <w:t xml:space="preserve">, </w:t>
      </w:r>
      <w:r w:rsidR="002A6A54">
        <w:rPr>
          <w:rFonts w:asciiTheme="minorHAnsi" w:hAnsiTheme="minorHAnsi" w:cstheme="minorHAnsi"/>
          <w:b w:val="0"/>
          <w:i/>
          <w:color w:val="auto"/>
          <w:sz w:val="22"/>
        </w:rPr>
        <w:t>m</w:t>
      </w:r>
      <w:r w:rsidR="003A4446">
        <w:rPr>
          <w:rFonts w:asciiTheme="minorHAnsi" w:hAnsiTheme="minorHAnsi" w:cstheme="minorHAnsi"/>
          <w:b w:val="0"/>
          <w:i/>
          <w:color w:val="auto"/>
          <w:sz w:val="22"/>
        </w:rPr>
        <w:t>ental health support person</w:t>
      </w:r>
      <w:r w:rsidR="007B1118" w:rsidRPr="00873CA5">
        <w:rPr>
          <w:rFonts w:asciiTheme="minorHAnsi" w:hAnsiTheme="minorHAnsi" w:cstheme="minorHAnsi"/>
          <w:b w:val="0"/>
          <w:i/>
          <w:color w:val="auto"/>
          <w:sz w:val="22"/>
        </w:rPr>
        <w:t>)</w:t>
      </w:r>
      <w:r w:rsidR="00F408E6" w:rsidRPr="00873CA5">
        <w:rPr>
          <w:rFonts w:asciiTheme="minorHAnsi" w:hAnsiTheme="minorHAnsi" w:cstheme="minorHAnsi"/>
          <w:b w:val="0"/>
          <w:i/>
          <w:color w:val="auto"/>
          <w:sz w:val="22"/>
        </w:rPr>
        <w:t xml:space="preserve">. </w:t>
      </w:r>
    </w:p>
    <w:bookmarkEnd w:id="0"/>
    <w:p w14:paraId="11C35B43" w14:textId="0E90C7A6" w:rsidR="00F408E6" w:rsidRDefault="00F408E6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347E885" w14:textId="77777777" w:rsidR="00F408E6" w:rsidRPr="00567FA9" w:rsidRDefault="00F408E6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217D85A" w14:textId="2C7BCC85" w:rsidR="00F408E6" w:rsidRPr="007E575B" w:rsidRDefault="005F5BDA" w:rsidP="0055317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b/>
          <w:bCs/>
        </w:rPr>
        <w:lastRenderedPageBreak/>
        <w:t>If you wish, p</w:t>
      </w:r>
      <w:r w:rsidR="00F408E6" w:rsidRPr="007E575B">
        <w:rPr>
          <w:rFonts w:asciiTheme="minorHAnsi" w:hAnsiTheme="minorHAnsi" w:cstheme="minorHAnsi"/>
          <w:b/>
          <w:bCs/>
        </w:rPr>
        <w:t>lease describe why you are interested in being involved in th</w:t>
      </w:r>
      <w:r w:rsidR="006C2824">
        <w:rPr>
          <w:rFonts w:asciiTheme="minorHAnsi" w:hAnsiTheme="minorHAnsi" w:cstheme="minorHAnsi"/>
          <w:b/>
          <w:bCs/>
        </w:rPr>
        <w:t>is consultation?</w:t>
      </w:r>
      <w:r w:rsidR="007E575B">
        <w:rPr>
          <w:rFonts w:asciiTheme="minorHAnsi" w:hAnsiTheme="minorHAnsi" w:cstheme="minorHAnsi"/>
        </w:rPr>
        <w:t xml:space="preserve"> </w:t>
      </w:r>
      <w:r w:rsidR="00F408E6" w:rsidRPr="007E575B">
        <w:rPr>
          <w:rFonts w:asciiTheme="minorHAnsi" w:hAnsiTheme="minorHAnsi" w:cstheme="minorHAnsi"/>
          <w:i/>
          <w:color w:val="808080" w:themeColor="background1" w:themeShade="80"/>
        </w:rPr>
        <w:t xml:space="preserve">Tip: </w:t>
      </w:r>
      <w:r>
        <w:rPr>
          <w:rFonts w:asciiTheme="minorHAnsi" w:hAnsiTheme="minorHAnsi" w:cstheme="minorHAnsi"/>
          <w:i/>
          <w:color w:val="808080" w:themeColor="background1" w:themeShade="80"/>
        </w:rPr>
        <w:t>Have you</w:t>
      </w:r>
      <w:r w:rsidR="00C63988">
        <w:rPr>
          <w:rFonts w:asciiTheme="minorHAnsi" w:hAnsiTheme="minorHAnsi" w:cstheme="minorHAnsi"/>
          <w:i/>
          <w:color w:val="808080" w:themeColor="background1" w:themeShade="80"/>
        </w:rPr>
        <w:t>, or someone you cared for,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moved between states or territories while receiving involuntary mental health care? Has the lack of recognition between state and territory mental health legislation impacted on your treatment and care? </w:t>
      </w:r>
      <w:r w:rsidR="00F408E6" w:rsidRPr="007E575B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</w:p>
    <w:p w14:paraId="7AC27E58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18E63BE2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16B59F4" w14:textId="66198E9F" w:rsidR="008012D5" w:rsidRPr="000504A0" w:rsidRDefault="008012D5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590E2" w14:textId="77777777" w:rsidR="0061062A" w:rsidRDefault="0061062A" w:rsidP="007B1118">
      <w:pPr>
        <w:spacing w:after="0" w:line="240" w:lineRule="auto"/>
      </w:pPr>
      <w:r>
        <w:separator/>
      </w:r>
    </w:p>
  </w:endnote>
  <w:endnote w:type="continuationSeparator" w:id="0">
    <w:p w14:paraId="4BE7C2F1" w14:textId="77777777" w:rsidR="0061062A" w:rsidRDefault="0061062A" w:rsidP="007B1118">
      <w:pPr>
        <w:spacing w:after="0" w:line="240" w:lineRule="auto"/>
      </w:pPr>
      <w:r>
        <w:continuationSeparator/>
      </w:r>
    </w:p>
  </w:endnote>
  <w:endnote w:type="continuationNotice" w:id="1">
    <w:p w14:paraId="3472BBF6" w14:textId="77777777" w:rsidR="0061062A" w:rsidRDefault="00610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80F89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18B630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CBB09" w14:textId="77777777" w:rsidR="0061062A" w:rsidRDefault="0061062A" w:rsidP="007B1118">
      <w:pPr>
        <w:spacing w:after="0" w:line="240" w:lineRule="auto"/>
      </w:pPr>
      <w:r>
        <w:separator/>
      </w:r>
    </w:p>
  </w:footnote>
  <w:footnote w:type="continuationSeparator" w:id="0">
    <w:p w14:paraId="559797D6" w14:textId="77777777" w:rsidR="0061062A" w:rsidRDefault="0061062A" w:rsidP="007B1118">
      <w:pPr>
        <w:spacing w:after="0" w:line="240" w:lineRule="auto"/>
      </w:pPr>
      <w:r>
        <w:continuationSeparator/>
      </w:r>
    </w:p>
  </w:footnote>
  <w:footnote w:type="continuationNotice" w:id="1">
    <w:p w14:paraId="702CCD63" w14:textId="77777777" w:rsidR="0061062A" w:rsidRDefault="00610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523ACC50" w14:textId="77777777" w:rsidTr="779288A1">
      <w:trPr>
        <w:trHeight w:val="20"/>
      </w:trPr>
      <w:tc>
        <w:tcPr>
          <w:tcW w:w="12191" w:type="dxa"/>
          <w:gridSpan w:val="5"/>
          <w:tcBorders>
            <w:top w:val="single" w:sz="4" w:space="0" w:color="FFFFFF" w:themeColor="background1"/>
            <w:bottom w:val="nil"/>
            <w:right w:val="nil"/>
          </w:tcBorders>
          <w:shd w:val="clear" w:color="auto" w:fill="650030"/>
        </w:tcPr>
        <w:p w14:paraId="0A0A8FC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5E79D810" w14:textId="77777777" w:rsidTr="779288A1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34BCFF0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519104A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436BD18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1A5232F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6ED0D0E5" w14:textId="77777777" w:rsidTr="779288A1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 w:themeColor="background1"/>
            <w:right w:val="nil"/>
          </w:tcBorders>
          <w:shd w:val="clear" w:color="auto" w:fill="650030"/>
          <w:vAlign w:val="center"/>
        </w:tcPr>
        <w:p w14:paraId="0362CFB5" w14:textId="77777777" w:rsidR="007B1118" w:rsidRPr="007B1118" w:rsidRDefault="779288A1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noProof/>
            </w:rPr>
            <w:drawing>
              <wp:inline distT="0" distB="0" distL="0" distR="0" wp14:anchorId="12C288A0" wp14:editId="72A044A4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50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 w:themeColor="background1"/>
            <w:right w:val="nil"/>
          </w:tcBorders>
          <w:shd w:val="clear" w:color="auto" w:fill="650030"/>
          <w:vAlign w:val="center"/>
        </w:tcPr>
        <w:p w14:paraId="00C709D5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5BEADAF3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B6A"/>
    <w:multiLevelType w:val="hybridMultilevel"/>
    <w:tmpl w:val="542A3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428"/>
    <w:multiLevelType w:val="hybridMultilevel"/>
    <w:tmpl w:val="529A3E86"/>
    <w:lvl w:ilvl="0" w:tplc="E926F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27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2A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A5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66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CF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2D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E9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6C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55D7"/>
    <w:multiLevelType w:val="hybridMultilevel"/>
    <w:tmpl w:val="9DAEB4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A05759"/>
    <w:multiLevelType w:val="hybridMultilevel"/>
    <w:tmpl w:val="7E026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7" w15:restartNumberingAfterBreak="0">
    <w:nsid w:val="4091307D"/>
    <w:multiLevelType w:val="hybridMultilevel"/>
    <w:tmpl w:val="EDC8C590"/>
    <w:lvl w:ilvl="0" w:tplc="7B90C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B8F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89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547E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E2B1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B25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340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648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F44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1FD4"/>
    <w:multiLevelType w:val="hybridMultilevel"/>
    <w:tmpl w:val="96B2C572"/>
    <w:lvl w:ilvl="0" w:tplc="404E8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64"/>
    <w:multiLevelType w:val="hybridMultilevel"/>
    <w:tmpl w:val="9408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B66A5"/>
    <w:multiLevelType w:val="hybridMultilevel"/>
    <w:tmpl w:val="4CF84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15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06152"/>
    <w:rsid w:val="00010F33"/>
    <w:rsid w:val="000141C6"/>
    <w:rsid w:val="000161F9"/>
    <w:rsid w:val="000312C7"/>
    <w:rsid w:val="00046149"/>
    <w:rsid w:val="000504A0"/>
    <w:rsid w:val="00067FDB"/>
    <w:rsid w:val="00095D41"/>
    <w:rsid w:val="0009773C"/>
    <w:rsid w:val="000A1C45"/>
    <w:rsid w:val="000A6D5A"/>
    <w:rsid w:val="000B492D"/>
    <w:rsid w:val="000E3864"/>
    <w:rsid w:val="000E3C39"/>
    <w:rsid w:val="000F2B32"/>
    <w:rsid w:val="000F4E96"/>
    <w:rsid w:val="00116764"/>
    <w:rsid w:val="0011708E"/>
    <w:rsid w:val="001355C9"/>
    <w:rsid w:val="00156A0D"/>
    <w:rsid w:val="00192634"/>
    <w:rsid w:val="001A491C"/>
    <w:rsid w:val="001B7DBB"/>
    <w:rsid w:val="001C5C1C"/>
    <w:rsid w:val="001E508F"/>
    <w:rsid w:val="001F064F"/>
    <w:rsid w:val="001F7E44"/>
    <w:rsid w:val="0022363B"/>
    <w:rsid w:val="002327B6"/>
    <w:rsid w:val="00242A40"/>
    <w:rsid w:val="00276CB6"/>
    <w:rsid w:val="0028530B"/>
    <w:rsid w:val="002A242C"/>
    <w:rsid w:val="002A6A54"/>
    <w:rsid w:val="002C6E39"/>
    <w:rsid w:val="002D7305"/>
    <w:rsid w:val="002D74C5"/>
    <w:rsid w:val="002E24E6"/>
    <w:rsid w:val="002F6031"/>
    <w:rsid w:val="00323ABA"/>
    <w:rsid w:val="003243DA"/>
    <w:rsid w:val="00341D41"/>
    <w:rsid w:val="00344282"/>
    <w:rsid w:val="00356C0B"/>
    <w:rsid w:val="003A4446"/>
    <w:rsid w:val="003B50A8"/>
    <w:rsid w:val="003C2EF5"/>
    <w:rsid w:val="003D1986"/>
    <w:rsid w:val="003D277C"/>
    <w:rsid w:val="003D4284"/>
    <w:rsid w:val="003F4436"/>
    <w:rsid w:val="003F509B"/>
    <w:rsid w:val="003F57B2"/>
    <w:rsid w:val="004070BB"/>
    <w:rsid w:val="00422F79"/>
    <w:rsid w:val="00436215"/>
    <w:rsid w:val="00436788"/>
    <w:rsid w:val="00441807"/>
    <w:rsid w:val="00470534"/>
    <w:rsid w:val="0047428D"/>
    <w:rsid w:val="00475D15"/>
    <w:rsid w:val="00480614"/>
    <w:rsid w:val="00493227"/>
    <w:rsid w:val="004B22F0"/>
    <w:rsid w:val="004C4577"/>
    <w:rsid w:val="004C6722"/>
    <w:rsid w:val="004F2068"/>
    <w:rsid w:val="004F6FAF"/>
    <w:rsid w:val="00525CBB"/>
    <w:rsid w:val="00537C4D"/>
    <w:rsid w:val="00553171"/>
    <w:rsid w:val="00566757"/>
    <w:rsid w:val="0056791D"/>
    <w:rsid w:val="00567FA9"/>
    <w:rsid w:val="00577544"/>
    <w:rsid w:val="005849C6"/>
    <w:rsid w:val="00584EC3"/>
    <w:rsid w:val="005946AD"/>
    <w:rsid w:val="005A08BE"/>
    <w:rsid w:val="005A6F41"/>
    <w:rsid w:val="005B42FD"/>
    <w:rsid w:val="005C728F"/>
    <w:rsid w:val="005D726A"/>
    <w:rsid w:val="005F386D"/>
    <w:rsid w:val="005F5BDA"/>
    <w:rsid w:val="0061062A"/>
    <w:rsid w:val="00613DE4"/>
    <w:rsid w:val="0063586F"/>
    <w:rsid w:val="0065031F"/>
    <w:rsid w:val="006507D8"/>
    <w:rsid w:val="006C1F1C"/>
    <w:rsid w:val="006C2824"/>
    <w:rsid w:val="006D3FC5"/>
    <w:rsid w:val="006F13CC"/>
    <w:rsid w:val="00713FFC"/>
    <w:rsid w:val="00715183"/>
    <w:rsid w:val="00745073"/>
    <w:rsid w:val="0075352C"/>
    <w:rsid w:val="007A24EA"/>
    <w:rsid w:val="007A533C"/>
    <w:rsid w:val="007A67B5"/>
    <w:rsid w:val="007B1118"/>
    <w:rsid w:val="007B72E3"/>
    <w:rsid w:val="007B7AC0"/>
    <w:rsid w:val="007C11F6"/>
    <w:rsid w:val="007E0D68"/>
    <w:rsid w:val="007E2D3C"/>
    <w:rsid w:val="007E4E84"/>
    <w:rsid w:val="007E575B"/>
    <w:rsid w:val="008012D5"/>
    <w:rsid w:val="00803162"/>
    <w:rsid w:val="0081386F"/>
    <w:rsid w:val="00833EA5"/>
    <w:rsid w:val="00873CA5"/>
    <w:rsid w:val="008A7949"/>
    <w:rsid w:val="008A7B63"/>
    <w:rsid w:val="008B180D"/>
    <w:rsid w:val="008B79EB"/>
    <w:rsid w:val="008C3230"/>
    <w:rsid w:val="008E291C"/>
    <w:rsid w:val="008E4E35"/>
    <w:rsid w:val="00901749"/>
    <w:rsid w:val="00924B0C"/>
    <w:rsid w:val="009335F9"/>
    <w:rsid w:val="009369B9"/>
    <w:rsid w:val="00947678"/>
    <w:rsid w:val="00950BD4"/>
    <w:rsid w:val="00953EBE"/>
    <w:rsid w:val="00964CC8"/>
    <w:rsid w:val="00967592"/>
    <w:rsid w:val="00984155"/>
    <w:rsid w:val="00990FA7"/>
    <w:rsid w:val="00993149"/>
    <w:rsid w:val="00996C71"/>
    <w:rsid w:val="009D66F5"/>
    <w:rsid w:val="00A047EB"/>
    <w:rsid w:val="00A07F64"/>
    <w:rsid w:val="00A21D79"/>
    <w:rsid w:val="00A45E45"/>
    <w:rsid w:val="00A50101"/>
    <w:rsid w:val="00A54780"/>
    <w:rsid w:val="00A6022E"/>
    <w:rsid w:val="00A607BE"/>
    <w:rsid w:val="00A60E50"/>
    <w:rsid w:val="00A76E7F"/>
    <w:rsid w:val="00A80C9C"/>
    <w:rsid w:val="00A81131"/>
    <w:rsid w:val="00A83487"/>
    <w:rsid w:val="00AA719C"/>
    <w:rsid w:val="00AD1F56"/>
    <w:rsid w:val="00AD3EE1"/>
    <w:rsid w:val="00AD5F28"/>
    <w:rsid w:val="00AD7DF8"/>
    <w:rsid w:val="00AF4875"/>
    <w:rsid w:val="00B01FEF"/>
    <w:rsid w:val="00B04D75"/>
    <w:rsid w:val="00B07FEB"/>
    <w:rsid w:val="00B101B4"/>
    <w:rsid w:val="00B10CAF"/>
    <w:rsid w:val="00B158F4"/>
    <w:rsid w:val="00B4287D"/>
    <w:rsid w:val="00B666F7"/>
    <w:rsid w:val="00B75112"/>
    <w:rsid w:val="00B85A22"/>
    <w:rsid w:val="00B9540B"/>
    <w:rsid w:val="00BC4847"/>
    <w:rsid w:val="00BC5750"/>
    <w:rsid w:val="00BE64FB"/>
    <w:rsid w:val="00BF1898"/>
    <w:rsid w:val="00C532E7"/>
    <w:rsid w:val="00C63988"/>
    <w:rsid w:val="00C63A18"/>
    <w:rsid w:val="00C65454"/>
    <w:rsid w:val="00C95682"/>
    <w:rsid w:val="00CA0F53"/>
    <w:rsid w:val="00CE2722"/>
    <w:rsid w:val="00CF0DC8"/>
    <w:rsid w:val="00CF1816"/>
    <w:rsid w:val="00CF307C"/>
    <w:rsid w:val="00D03612"/>
    <w:rsid w:val="00D329EA"/>
    <w:rsid w:val="00D471EA"/>
    <w:rsid w:val="00D7586C"/>
    <w:rsid w:val="00D8205C"/>
    <w:rsid w:val="00D8375F"/>
    <w:rsid w:val="00D95CDA"/>
    <w:rsid w:val="00DA2FE8"/>
    <w:rsid w:val="00DB3A31"/>
    <w:rsid w:val="00DB3F9D"/>
    <w:rsid w:val="00E04855"/>
    <w:rsid w:val="00E37ADD"/>
    <w:rsid w:val="00E43900"/>
    <w:rsid w:val="00E66173"/>
    <w:rsid w:val="00E67242"/>
    <w:rsid w:val="00E71AAD"/>
    <w:rsid w:val="00E72A17"/>
    <w:rsid w:val="00E76764"/>
    <w:rsid w:val="00E82D04"/>
    <w:rsid w:val="00E85C86"/>
    <w:rsid w:val="00EB201A"/>
    <w:rsid w:val="00EE02BE"/>
    <w:rsid w:val="00F22653"/>
    <w:rsid w:val="00F24DC3"/>
    <w:rsid w:val="00F33C39"/>
    <w:rsid w:val="00F33D23"/>
    <w:rsid w:val="00F348BD"/>
    <w:rsid w:val="00F36882"/>
    <w:rsid w:val="00F408E6"/>
    <w:rsid w:val="00F40EAC"/>
    <w:rsid w:val="00F56AC5"/>
    <w:rsid w:val="00F9156F"/>
    <w:rsid w:val="00FB2682"/>
    <w:rsid w:val="00FD0A44"/>
    <w:rsid w:val="00FD45BD"/>
    <w:rsid w:val="00FD57CA"/>
    <w:rsid w:val="00FE3C6B"/>
    <w:rsid w:val="00FE5268"/>
    <w:rsid w:val="05FC38AC"/>
    <w:rsid w:val="08171328"/>
    <w:rsid w:val="095E7910"/>
    <w:rsid w:val="0A162EB9"/>
    <w:rsid w:val="119B7775"/>
    <w:rsid w:val="121985E9"/>
    <w:rsid w:val="13055B56"/>
    <w:rsid w:val="1888C76D"/>
    <w:rsid w:val="197C8A60"/>
    <w:rsid w:val="1DBEA918"/>
    <w:rsid w:val="217E8872"/>
    <w:rsid w:val="21879C45"/>
    <w:rsid w:val="23236CA6"/>
    <w:rsid w:val="262804F6"/>
    <w:rsid w:val="2AFDD468"/>
    <w:rsid w:val="2CA18B29"/>
    <w:rsid w:val="2DB40A05"/>
    <w:rsid w:val="2E2A030D"/>
    <w:rsid w:val="2EAE352F"/>
    <w:rsid w:val="3BCFDE1A"/>
    <w:rsid w:val="3CCF37DF"/>
    <w:rsid w:val="41412C63"/>
    <w:rsid w:val="45203CD2"/>
    <w:rsid w:val="47FB0108"/>
    <w:rsid w:val="49ADBAE7"/>
    <w:rsid w:val="4AF9B276"/>
    <w:rsid w:val="4C286393"/>
    <w:rsid w:val="5133DC07"/>
    <w:rsid w:val="52926273"/>
    <w:rsid w:val="5372DAB1"/>
    <w:rsid w:val="54D38EBA"/>
    <w:rsid w:val="55B70936"/>
    <w:rsid w:val="57702A53"/>
    <w:rsid w:val="594E2B9A"/>
    <w:rsid w:val="618B520A"/>
    <w:rsid w:val="6203A8CD"/>
    <w:rsid w:val="64455B8D"/>
    <w:rsid w:val="6938217B"/>
    <w:rsid w:val="6ADC824F"/>
    <w:rsid w:val="6B3C2D0F"/>
    <w:rsid w:val="6F7E8E12"/>
    <w:rsid w:val="72A68699"/>
    <w:rsid w:val="73CFCC0C"/>
    <w:rsid w:val="7451FF35"/>
    <w:rsid w:val="74E6D893"/>
    <w:rsid w:val="779288A1"/>
    <w:rsid w:val="79F81D68"/>
    <w:rsid w:val="7A911B0E"/>
    <w:rsid w:val="7AD3ED57"/>
    <w:rsid w:val="7B0A658D"/>
    <w:rsid w:val="7C9B4973"/>
    <w:rsid w:val="7D8744AF"/>
    <w:rsid w:val="7F4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A7CF1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2327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B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369B9"/>
  </w:style>
  <w:style w:type="character" w:styleId="UnresolvedMention">
    <w:name w:val="Unresolved Mention"/>
    <w:basedOn w:val="DefaultParagraphFont"/>
    <w:uiPriority w:val="99"/>
    <w:unhideWhenUsed/>
    <w:rsid w:val="003F57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B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3621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A6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umer@hcq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q.org.au/wp-content/uploads/2015/12/Consumer-Remuneration-Rates-Dec-201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qld.gov.au/clinical-practice/guidelines-procedures/clinical-staff/mental-health/act/topics/treatment-ca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A2D8B-96D8-423B-A716-E9EB7D0D13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BBC7C-029F-4CBF-B900-EB5F5A754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3</cp:revision>
  <dcterms:created xsi:type="dcterms:W3CDTF">2021-02-03T05:08:00Z</dcterms:created>
  <dcterms:modified xsi:type="dcterms:W3CDTF">2021-02-03T23:11:00Z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