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6495" w14:textId="3B2FBE37" w:rsidR="00665B00" w:rsidRDefault="00665B00" w:rsidP="00294A8B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Opportunity to Host a Kitchen Table Discussion</w:t>
      </w:r>
      <w:r w:rsidR="00CF307C">
        <w:rPr>
          <w:sz w:val="36"/>
        </w:rPr>
        <w:t xml:space="preserve"> </w:t>
      </w:r>
      <w:r>
        <w:rPr>
          <w:sz w:val="36"/>
        </w:rPr>
        <w:t>to provide consumer feedback on</w:t>
      </w:r>
    </w:p>
    <w:p w14:paraId="5CEFDCDA" w14:textId="5E5DFAC6" w:rsidR="001B169E" w:rsidRDefault="00765F64" w:rsidP="00294A8B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WWW.ACCESSMYHEALTHCARE.COM.AU</w:t>
      </w:r>
    </w:p>
    <w:p w14:paraId="72C0067E" w14:textId="26D84A21" w:rsidR="00CF307C" w:rsidRPr="0011708E" w:rsidRDefault="00CF307C" w:rsidP="001B169E">
      <w:pPr>
        <w:pStyle w:val="StaffH1"/>
        <w:pBdr>
          <w:bottom w:val="single" w:sz="4" w:space="1" w:color="9B0552"/>
        </w:pBdr>
        <w:jc w:val="center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665B00">
        <w:rPr>
          <w:rFonts w:asciiTheme="minorHAnsi" w:hAnsiTheme="minorHAnsi" w:cstheme="minorHAnsi"/>
          <w:color w:val="auto"/>
          <w:sz w:val="22"/>
        </w:rPr>
        <w:t xml:space="preserve">4pm on </w:t>
      </w:r>
      <w:r w:rsidR="00C76B78">
        <w:rPr>
          <w:rFonts w:asciiTheme="minorHAnsi" w:hAnsiTheme="minorHAnsi" w:cstheme="minorHAnsi"/>
          <w:color w:val="auto"/>
          <w:sz w:val="22"/>
        </w:rPr>
        <w:t>19</w:t>
      </w:r>
      <w:r w:rsidR="00C76B78" w:rsidRPr="00C76B78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294A8B">
        <w:rPr>
          <w:rFonts w:asciiTheme="minorHAnsi" w:hAnsiTheme="minorHAnsi" w:cstheme="minorHAnsi"/>
          <w:color w:val="auto"/>
          <w:sz w:val="22"/>
        </w:rPr>
        <w:t xml:space="preserve"> February 2021</w:t>
      </w:r>
    </w:p>
    <w:p w14:paraId="4BC60616" w14:textId="77335362" w:rsidR="007A67B5" w:rsidRDefault="00294A8B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Access My Healthcare</w:t>
      </w:r>
    </w:p>
    <w:p w14:paraId="7E630ABE" w14:textId="122F6E4B" w:rsidR="00A30E16" w:rsidRPr="00765F64" w:rsidRDefault="00525FF4" w:rsidP="007A67B5">
      <w:pPr>
        <w:ind w:right="-755"/>
        <w:rPr>
          <w:b/>
        </w:rPr>
      </w:pPr>
      <w:r>
        <w:rPr>
          <w:b/>
        </w:rPr>
        <w:t xml:space="preserve">This opportunity </w:t>
      </w:r>
      <w:r w:rsidR="0058786E">
        <w:rPr>
          <w:b/>
        </w:rPr>
        <w:t xml:space="preserve">is </w:t>
      </w:r>
      <w:r w:rsidR="00F563C5">
        <w:rPr>
          <w:b/>
        </w:rPr>
        <w:t xml:space="preserve">for 3 consumers to host kitchen table discussions with their local community networks </w:t>
      </w:r>
      <w:r w:rsidR="0058786E">
        <w:rPr>
          <w:b/>
        </w:rPr>
        <w:t xml:space="preserve">to provide feedback on the Access My Healthcare website and mobile application. </w:t>
      </w:r>
      <w:r w:rsidR="00F563C5">
        <w:rPr>
          <w:b/>
        </w:rPr>
        <w:t>Hosts</w:t>
      </w:r>
      <w:r w:rsidR="0058786E">
        <w:rPr>
          <w:b/>
        </w:rPr>
        <w:t xml:space="preserve"> should be familiar with searching websites and mobile applications for</w:t>
      </w:r>
      <w:r w:rsidR="00F563C5">
        <w:rPr>
          <w:b/>
        </w:rPr>
        <w:t xml:space="preserve"> healthcare</w:t>
      </w:r>
      <w:r w:rsidR="0058786E">
        <w:rPr>
          <w:b/>
        </w:rPr>
        <w:t xml:space="preserve"> information or services. </w:t>
      </w:r>
    </w:p>
    <w:p w14:paraId="3DA62108" w14:textId="55FD7C38" w:rsidR="00F563C5" w:rsidRDefault="00F563C5" w:rsidP="00F563C5">
      <w:hyperlink r:id="rId10" w:history="1">
        <w:r w:rsidRPr="002A2A13">
          <w:rPr>
            <w:rStyle w:val="Hyperlink"/>
          </w:rPr>
          <w:t>Access My Healthcare</w:t>
        </w:r>
      </w:hyperlink>
      <w:r>
        <w:t xml:space="preserve"> brings together all health and wellbeing services and providers into a single, integrated, easy to use </w:t>
      </w:r>
      <w:r>
        <w:t>website and app</w:t>
      </w:r>
      <w:r>
        <w:t xml:space="preserve">. </w:t>
      </w:r>
      <w:r>
        <w:t xml:space="preserve">Access My Healthcare </w:t>
      </w:r>
      <w:r>
        <w:t xml:space="preserve">connects </w:t>
      </w:r>
      <w:r>
        <w:t xml:space="preserve">Queensland </w:t>
      </w:r>
      <w:r>
        <w:t xml:space="preserve">health and wellbeing services to consumers and carers, clinicians and the community. </w:t>
      </w:r>
    </w:p>
    <w:p w14:paraId="71BF7734" w14:textId="61CA60C5" w:rsidR="003E3B5A" w:rsidRDefault="00665B00" w:rsidP="002A2A13">
      <w:pPr>
        <w:rPr>
          <w:b/>
        </w:rPr>
      </w:pPr>
      <w:r>
        <w:t xml:space="preserve">Health Consumers Queensland has been contracted by </w:t>
      </w:r>
      <w:r w:rsidRPr="00F563C5">
        <w:rPr>
          <w:b/>
          <w:bCs/>
        </w:rPr>
        <w:t>Community Information Support Services</w:t>
      </w:r>
      <w:r>
        <w:t xml:space="preserve"> to undertake this project.</w:t>
      </w:r>
      <w:r>
        <w:t xml:space="preserve"> </w:t>
      </w:r>
      <w:hyperlink r:id="rId11" w:history="1">
        <w:r w:rsidR="00765F64" w:rsidRPr="00765F64">
          <w:rPr>
            <w:rStyle w:val="Hyperlink"/>
          </w:rPr>
          <w:t>Community Information Support Services</w:t>
        </w:r>
      </w:hyperlink>
      <w:r w:rsidR="00765F64">
        <w:t xml:space="preserve">, </w:t>
      </w:r>
      <w:r w:rsidR="002A2A13">
        <w:t xml:space="preserve">believe that all Australians should have access to timely, </w:t>
      </w:r>
      <w:r w:rsidR="00F457E4">
        <w:t>convenient,</w:t>
      </w:r>
      <w:r w:rsidR="002A2A13">
        <w:t xml:space="preserve"> and equitable health and wellbeing services. </w:t>
      </w:r>
      <w:r w:rsidR="002A2A13" w:rsidRPr="00665B00">
        <w:rPr>
          <w:b/>
          <w:bCs/>
        </w:rPr>
        <w:t>Community Information Support Services</w:t>
      </w:r>
      <w:r w:rsidR="002A2A13">
        <w:t xml:space="preserve"> is a charity supported through membership fees from health and community organisations that partner to provide information on services and events accessible to </w:t>
      </w:r>
      <w:r w:rsidR="003E3B5A">
        <w:t>the public</w:t>
      </w:r>
      <w:r w:rsidR="00F457E4">
        <w:t>.</w:t>
      </w:r>
    </w:p>
    <w:p w14:paraId="60E4F6BC" w14:textId="1BCDEA5A" w:rsidR="00F563C5" w:rsidRPr="00F563C5" w:rsidRDefault="00A30E16" w:rsidP="003E3B5A">
      <w:pPr>
        <w:ind w:right="-755"/>
        <w:rPr>
          <w:bCs/>
          <w:color w:val="9B1D54"/>
          <w:sz w:val="28"/>
          <w:szCs w:val="28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Project </w:t>
      </w:r>
      <w:r w:rsidR="007A67B5"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73DF486F" w14:textId="3CFDB4A7" w:rsidR="003E3B5A" w:rsidRPr="003E3B5A" w:rsidRDefault="003E3B5A" w:rsidP="003E3B5A">
      <w:pPr>
        <w:ind w:right="-755"/>
      </w:pPr>
      <w:r w:rsidRPr="003E3B5A">
        <w:t xml:space="preserve">The purpose of this project is to </w:t>
      </w:r>
      <w:r w:rsidR="00F563C5">
        <w:t>receive</w:t>
      </w:r>
      <w:r w:rsidRPr="003E3B5A">
        <w:t xml:space="preserve"> feedback from consumers on the </w:t>
      </w:r>
      <w:r w:rsidRPr="00F563C5">
        <w:rPr>
          <w:b/>
          <w:bCs/>
        </w:rPr>
        <w:t>Access My Healthcare</w:t>
      </w:r>
      <w:r w:rsidRPr="003E3B5A">
        <w:t xml:space="preserve"> </w:t>
      </w:r>
      <w:r w:rsidR="00F563C5">
        <w:t>website and app</w:t>
      </w:r>
      <w:r w:rsidRPr="003E3B5A">
        <w:t xml:space="preserve">. The </w:t>
      </w:r>
      <w:r w:rsidR="00F563C5">
        <w:t xml:space="preserve">Kitchen Table Discussions will enable consumers and carers </w:t>
      </w:r>
      <w:r w:rsidRPr="003E3B5A">
        <w:t>to review the Access My healthcare website and mobile application and provide feedback on:</w:t>
      </w:r>
    </w:p>
    <w:p w14:paraId="57EACFD8" w14:textId="77777777" w:rsidR="003E3B5A" w:rsidRPr="003E3B5A" w:rsidRDefault="003E3B5A" w:rsidP="003E3B5A">
      <w:pPr>
        <w:pStyle w:val="ListParagraph"/>
        <w:numPr>
          <w:ilvl w:val="0"/>
          <w:numId w:val="7"/>
        </w:numPr>
        <w:ind w:right="-755"/>
      </w:pPr>
      <w:r w:rsidRPr="003E3B5A">
        <w:t>Display of information</w:t>
      </w:r>
    </w:p>
    <w:p w14:paraId="663485AE" w14:textId="17CE1C47" w:rsidR="003E3B5A" w:rsidRPr="003E3B5A" w:rsidRDefault="003E3B5A" w:rsidP="003E3B5A">
      <w:pPr>
        <w:pStyle w:val="ListParagraph"/>
        <w:numPr>
          <w:ilvl w:val="0"/>
          <w:numId w:val="7"/>
        </w:numPr>
        <w:ind w:right="-755"/>
      </w:pPr>
      <w:r w:rsidRPr="003E3B5A">
        <w:t xml:space="preserve">How easy is it </w:t>
      </w:r>
      <w:r w:rsidR="009C36BA" w:rsidRPr="003E3B5A">
        <w:t>to use?</w:t>
      </w:r>
    </w:p>
    <w:p w14:paraId="07F959DA" w14:textId="4CE6A2CA" w:rsidR="003E3B5A" w:rsidRPr="003E3B5A" w:rsidRDefault="003E3B5A" w:rsidP="003E3B5A">
      <w:pPr>
        <w:pStyle w:val="ListParagraph"/>
        <w:numPr>
          <w:ilvl w:val="0"/>
          <w:numId w:val="7"/>
        </w:numPr>
        <w:ind w:right="-755"/>
      </w:pPr>
      <w:r w:rsidRPr="003E3B5A">
        <w:t xml:space="preserve">How relevant are the results of </w:t>
      </w:r>
      <w:r w:rsidR="009C36BA" w:rsidRPr="003E3B5A">
        <w:t>the searches?</w:t>
      </w:r>
    </w:p>
    <w:p w14:paraId="6C646684" w14:textId="408CFF08" w:rsidR="003E3B5A" w:rsidRDefault="003E3B5A" w:rsidP="007A67B5">
      <w:pPr>
        <w:pStyle w:val="ListParagraph"/>
        <w:numPr>
          <w:ilvl w:val="0"/>
          <w:numId w:val="7"/>
        </w:numPr>
        <w:ind w:right="-755"/>
      </w:pPr>
      <w:r w:rsidRPr="003E3B5A">
        <w:t>Recommendations on the display of information</w:t>
      </w:r>
    </w:p>
    <w:p w14:paraId="7C209C30" w14:textId="77777777" w:rsidR="00F563C5" w:rsidRPr="00F563C5" w:rsidRDefault="00F563C5" w:rsidP="00F563C5">
      <w:pPr>
        <w:ind w:left="360" w:right="-755"/>
        <w:rPr>
          <w:rStyle w:val="Hyperlink"/>
          <w:color w:val="auto"/>
          <w:u w:val="none"/>
        </w:rPr>
      </w:pPr>
    </w:p>
    <w:p w14:paraId="2009F8D2" w14:textId="77777777" w:rsidR="00F563C5" w:rsidRPr="009C4C71" w:rsidRDefault="00F563C5" w:rsidP="00F563C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14:paraId="399B4111" w14:textId="77777777" w:rsidR="00F563C5" w:rsidRDefault="00F563C5" w:rsidP="00F563C5">
      <w:r>
        <w:t xml:space="preserve">Health Consumers Queensland provides opportunities for consumers to lead consultation with their own community.  We do this via </w:t>
      </w:r>
      <w:r w:rsidRPr="00E80C3C">
        <w:t>Kitchen Table Discussions</w:t>
      </w:r>
      <w:r w:rsidRPr="00C31C4E">
        <w:t xml:space="preserve"> </w:t>
      </w:r>
      <w:r>
        <w:t xml:space="preserve">which </w:t>
      </w:r>
      <w:r w:rsidRPr="00C31C4E">
        <w:t>are</w:t>
      </w:r>
      <w:r>
        <w:t xml:space="preserve"> community engagement sessions led by local people for local people. They </w:t>
      </w:r>
      <w:r w:rsidRPr="00C31C4E">
        <w:t xml:space="preserve">allow small groups to participate in discussions at a time </w:t>
      </w:r>
      <w:r>
        <w:t xml:space="preserve">of day </w:t>
      </w:r>
      <w:r w:rsidRPr="00C31C4E">
        <w:t xml:space="preserve">that suits </w:t>
      </w:r>
      <w:r>
        <w:t xml:space="preserve">them. The discussions enable health consumers, carers and community members who do not ordinarily participate in healthcare consultation to have their say in a safe and supportive environment. </w:t>
      </w:r>
    </w:p>
    <w:p w14:paraId="141C0C89" w14:textId="3900F859" w:rsidR="00F563C5" w:rsidRPr="00863251" w:rsidRDefault="00F563C5" w:rsidP="00F563C5">
      <w:pPr>
        <w:rPr>
          <w:rStyle w:val="Hyperlink"/>
          <w:color w:val="auto"/>
          <w:u w:val="none"/>
        </w:rPr>
      </w:pPr>
      <w:r>
        <w:lastRenderedPageBreak/>
        <w:t xml:space="preserve">We are seeking </w:t>
      </w:r>
      <w:r>
        <w:t>three</w:t>
      </w:r>
      <w:r>
        <w:t xml:space="preserve"> (</w:t>
      </w:r>
      <w:r>
        <w:t>3</w:t>
      </w:r>
      <w:r>
        <w:t xml:space="preserve">) </w:t>
      </w:r>
      <w:r w:rsidRPr="006F45ED">
        <w:rPr>
          <w:b/>
        </w:rPr>
        <w:t>Consumer</w:t>
      </w:r>
      <w:r>
        <w:rPr>
          <w:b/>
        </w:rPr>
        <w:t xml:space="preserve"> </w:t>
      </w:r>
      <w:r w:rsidRPr="006F45ED">
        <w:rPr>
          <w:b/>
        </w:rPr>
        <w:t>Host</w:t>
      </w:r>
      <w:r>
        <w:rPr>
          <w:b/>
        </w:rPr>
        <w:t>s</w:t>
      </w:r>
      <w:r>
        <w:t xml:space="preserve"> with a strong community network who can bring together up to six community members each to have a discussion in-person or online via Zoom video conferencing. If online the host will have up to five participants. The Host guides the discussion with a set of questions provided to them and provides the feedback to Health Consumers Queensland. All information received is de-identified to ensure the participant’s privacy is maintained.</w:t>
      </w:r>
    </w:p>
    <w:p w14:paraId="131991B4" w14:textId="77777777" w:rsidR="00F563C5" w:rsidRPr="009C4C71" w:rsidRDefault="00F563C5" w:rsidP="00F563C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14:paraId="56F76721" w14:textId="60D68487" w:rsidR="00F563C5" w:rsidRDefault="00F563C5" w:rsidP="00F563C5">
      <w:pPr>
        <w:ind w:right="-755"/>
      </w:pPr>
      <w:r>
        <w:t>As the host your role will be to plan, coordinate and host a once-only 90-minute discussion with community members. This includes:</w:t>
      </w:r>
    </w:p>
    <w:p w14:paraId="6C3C346D" w14:textId="0913AF45" w:rsidR="00F563C5" w:rsidRDefault="00F563C5" w:rsidP="00F563C5">
      <w:pPr>
        <w:pStyle w:val="NoSpacing"/>
        <w:numPr>
          <w:ilvl w:val="0"/>
          <w:numId w:val="8"/>
        </w:numPr>
        <w:ind w:left="1080"/>
      </w:pPr>
      <w:r>
        <w:t xml:space="preserve">Inviting community members who would be interested in being part of </w:t>
      </w:r>
      <w:r>
        <w:t>the discussion to provide feedback on Access My Healthcare</w:t>
      </w:r>
      <w:r>
        <w:t>.  They will be your local community connections.</w:t>
      </w:r>
    </w:p>
    <w:p w14:paraId="5CB438D3" w14:textId="1D4236B4" w:rsidR="00F563C5" w:rsidRDefault="00F563C5" w:rsidP="00F563C5">
      <w:pPr>
        <w:pStyle w:val="NoSpacing"/>
        <w:numPr>
          <w:ilvl w:val="0"/>
          <w:numId w:val="8"/>
        </w:numPr>
        <w:ind w:left="1080"/>
      </w:pPr>
      <w:r>
        <w:t>Choosing a time, date and venue between</w:t>
      </w:r>
      <w:r w:rsidR="00665B00">
        <w:t xml:space="preserve"> </w:t>
      </w:r>
      <w:r w:rsidR="00665B00" w:rsidRPr="001D1664">
        <w:rPr>
          <w:b/>
          <w:bCs/>
        </w:rPr>
        <w:t>24</w:t>
      </w:r>
      <w:r w:rsidRPr="001D1664">
        <w:rPr>
          <w:b/>
          <w:bCs/>
          <w:vertAlign w:val="superscript"/>
        </w:rPr>
        <w:t>th</w:t>
      </w:r>
      <w:r w:rsidRPr="001D1664">
        <w:rPr>
          <w:b/>
          <w:bCs/>
        </w:rPr>
        <w:t xml:space="preserve"> </w:t>
      </w:r>
      <w:r>
        <w:rPr>
          <w:b/>
          <w:bCs/>
        </w:rPr>
        <w:t xml:space="preserve">February and </w:t>
      </w:r>
      <w:r w:rsidR="001D1664">
        <w:rPr>
          <w:b/>
          <w:bCs/>
        </w:rPr>
        <w:t>17</w:t>
      </w:r>
      <w:r w:rsidRPr="00B51433">
        <w:rPr>
          <w:b/>
          <w:bCs/>
          <w:vertAlign w:val="superscript"/>
        </w:rPr>
        <w:t>th</w:t>
      </w:r>
      <w:r>
        <w:rPr>
          <w:b/>
          <w:bCs/>
        </w:rPr>
        <w:t xml:space="preserve"> of March</w:t>
      </w:r>
      <w:r>
        <w:rPr>
          <w:b/>
        </w:rPr>
        <w:t xml:space="preserve">, </w:t>
      </w:r>
      <w:r w:rsidRPr="00ED64A5">
        <w:rPr>
          <w:bCs/>
        </w:rPr>
        <w:t>that</w:t>
      </w:r>
      <w:r>
        <w:t xml:space="preserve"> works for your </w:t>
      </w:r>
      <w:r w:rsidRPr="008E69C7">
        <w:t>participants</w:t>
      </w:r>
      <w:r>
        <w:t xml:space="preserve">. </w:t>
      </w:r>
    </w:p>
    <w:p w14:paraId="08F4E0FB" w14:textId="77777777" w:rsidR="00F563C5" w:rsidRDefault="00F563C5" w:rsidP="00F563C5">
      <w:pPr>
        <w:pStyle w:val="NoSpacing"/>
        <w:numPr>
          <w:ilvl w:val="0"/>
          <w:numId w:val="8"/>
        </w:numPr>
        <w:ind w:left="1080"/>
      </w:pPr>
      <w:r>
        <w:t xml:space="preserve">Host the session. </w:t>
      </w:r>
    </w:p>
    <w:p w14:paraId="3567A6FF" w14:textId="73F143C6" w:rsidR="00F563C5" w:rsidRDefault="00F563C5" w:rsidP="001D1664">
      <w:pPr>
        <w:numPr>
          <w:ilvl w:val="0"/>
          <w:numId w:val="8"/>
        </w:numPr>
        <w:spacing w:after="0" w:line="240" w:lineRule="auto"/>
        <w:ind w:left="1080" w:right="-755"/>
      </w:pPr>
      <w:r w:rsidRPr="0097347C">
        <w:t xml:space="preserve">Complete </w:t>
      </w:r>
      <w:r>
        <w:t xml:space="preserve">the </w:t>
      </w:r>
      <w:r w:rsidRPr="0097347C">
        <w:t>provide</w:t>
      </w:r>
      <w:r>
        <w:t>d</w:t>
      </w:r>
      <w:r w:rsidRPr="0097347C">
        <w:t xml:space="preserve"> </w:t>
      </w:r>
      <w:r>
        <w:t xml:space="preserve">feedback template and email </w:t>
      </w:r>
      <w:r w:rsidRPr="0097347C">
        <w:t xml:space="preserve">to </w:t>
      </w:r>
      <w:r>
        <w:t xml:space="preserve">Health Consumers Queensland via email </w:t>
      </w:r>
      <w:r w:rsidR="009C36BA" w:rsidRPr="00A67ED4">
        <w:rPr>
          <w:b/>
        </w:rPr>
        <w:t xml:space="preserve">by </w:t>
      </w:r>
      <w:r w:rsidR="009C36BA">
        <w:rPr>
          <w:b/>
        </w:rPr>
        <w:t>19</w:t>
      </w:r>
      <w:r w:rsidR="001D1664" w:rsidRPr="001D1664">
        <w:rPr>
          <w:b/>
          <w:vertAlign w:val="superscript"/>
        </w:rPr>
        <w:t>th</w:t>
      </w:r>
      <w:r w:rsidRPr="001D1664">
        <w:rPr>
          <w:b/>
        </w:rPr>
        <w:t xml:space="preserve"> March </w:t>
      </w:r>
      <w:r>
        <w:t xml:space="preserve">along with the completed participant registration sheet.  </w:t>
      </w:r>
    </w:p>
    <w:p w14:paraId="647E45BF" w14:textId="77777777" w:rsidR="00F563C5" w:rsidRDefault="00F563C5" w:rsidP="00F563C5">
      <w:pPr>
        <w:spacing w:after="0" w:line="240" w:lineRule="auto"/>
        <w:ind w:left="1080" w:right="-755"/>
      </w:pPr>
    </w:p>
    <w:p w14:paraId="5B46AAAB" w14:textId="77777777" w:rsidR="00F563C5" w:rsidRPr="0083439B" w:rsidRDefault="00F563C5" w:rsidP="00F563C5">
      <w:pPr>
        <w:ind w:right="-755"/>
        <w:rPr>
          <w:b/>
        </w:rPr>
      </w:pPr>
      <w:r>
        <w:t>To support you with this, you will receive:</w:t>
      </w:r>
    </w:p>
    <w:p w14:paraId="410E4CBF" w14:textId="77777777" w:rsidR="00F563C5" w:rsidRPr="0083439B" w:rsidRDefault="00F563C5" w:rsidP="00F563C5">
      <w:pPr>
        <w:pStyle w:val="NoSpacing"/>
        <w:numPr>
          <w:ilvl w:val="0"/>
          <w:numId w:val="9"/>
        </w:numPr>
        <w:ind w:left="1080"/>
        <w:rPr>
          <w:b/>
        </w:rPr>
      </w:pPr>
      <w:r w:rsidRPr="0083439B">
        <w:rPr>
          <w:b/>
        </w:rPr>
        <w:t>Training via a Zoom video conference call. Zoom is free to download.</w:t>
      </w:r>
    </w:p>
    <w:p w14:paraId="5CA30112" w14:textId="77777777" w:rsidR="00F563C5" w:rsidRDefault="00F563C5" w:rsidP="00F563C5">
      <w:pPr>
        <w:pStyle w:val="NoSpacing"/>
        <w:numPr>
          <w:ilvl w:val="0"/>
          <w:numId w:val="9"/>
        </w:numPr>
        <w:ind w:left="1080"/>
      </w:pPr>
      <w:r>
        <w:t>A comprehensive Host Guide and toolkit with all printed documentation.</w:t>
      </w:r>
    </w:p>
    <w:p w14:paraId="746CE687" w14:textId="77777777" w:rsidR="00F563C5" w:rsidRDefault="00F563C5" w:rsidP="00F563C5">
      <w:pPr>
        <w:pStyle w:val="NoSpacing"/>
        <w:numPr>
          <w:ilvl w:val="0"/>
          <w:numId w:val="9"/>
        </w:numPr>
        <w:ind w:left="1080"/>
      </w:pPr>
      <w:r>
        <w:t>Questions to ask participants during the discussion.</w:t>
      </w:r>
    </w:p>
    <w:p w14:paraId="10D4C4D4" w14:textId="77777777" w:rsidR="00F563C5" w:rsidRPr="0063388F" w:rsidRDefault="00F563C5" w:rsidP="00F563C5">
      <w:pPr>
        <w:pStyle w:val="NoSpacing"/>
        <w:numPr>
          <w:ilvl w:val="0"/>
          <w:numId w:val="9"/>
        </w:numPr>
        <w:ind w:left="1080"/>
      </w:pPr>
      <w:r>
        <w:t>Support from Health Consumers Queensland to ensure you have a successful session.</w:t>
      </w:r>
    </w:p>
    <w:p w14:paraId="4D8FAF30" w14:textId="77777777" w:rsidR="00F563C5" w:rsidRDefault="00F563C5" w:rsidP="00F563C5">
      <w:pPr>
        <w:pStyle w:val="NoSpacing"/>
        <w:rPr>
          <w:rStyle w:val="Hyperlink"/>
          <w:bCs/>
          <w:color w:val="9B1D54"/>
          <w:sz w:val="28"/>
          <w:szCs w:val="28"/>
        </w:rPr>
      </w:pPr>
    </w:p>
    <w:p w14:paraId="1C40AACB" w14:textId="77777777" w:rsidR="00F563C5" w:rsidRPr="009C4C71" w:rsidRDefault="00F563C5" w:rsidP="00F563C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Who are we looking for as Consumer or Carer Hosts?</w:t>
      </w:r>
    </w:p>
    <w:p w14:paraId="77E4E5DD" w14:textId="300A4F3C" w:rsidR="00F563C5" w:rsidRDefault="00F563C5" w:rsidP="00F563C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63388F">
        <w:t xml:space="preserve">We would like our hosts to </w:t>
      </w:r>
      <w:r>
        <w:t>have strong community connections.</w:t>
      </w:r>
      <w:r w:rsidR="00665B00">
        <w:t xml:space="preserve"> </w:t>
      </w:r>
      <w:r w:rsidR="00665B00" w:rsidRPr="00665B00">
        <w:t xml:space="preserve">Hosts should have ideally accessed a public health service in their community within the last year. </w:t>
      </w:r>
    </w:p>
    <w:p w14:paraId="2353515D" w14:textId="77777777" w:rsidR="00F563C5" w:rsidRPr="009C4C71" w:rsidRDefault="00F563C5" w:rsidP="00F563C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4E651CD9" w14:textId="77777777" w:rsidR="00F563C5" w:rsidRDefault="00F563C5" w:rsidP="00F563C5">
      <w:r>
        <w:rPr>
          <w:b/>
        </w:rPr>
        <w:t xml:space="preserve">Hosts – </w:t>
      </w:r>
      <w:r>
        <w:t xml:space="preserve">you will be remunerated at Health Consumers Queensland’s day meeting rate of $374 for hosting an in-person session at a venue and $187 if hosting an online session. You will also be reimbursed </w:t>
      </w:r>
      <w:r w:rsidRPr="00B80BD3">
        <w:rPr>
          <w:u w:val="single"/>
        </w:rPr>
        <w:t>up to</w:t>
      </w:r>
      <w:r>
        <w:t xml:space="preserve"> $70 to cover catering and venue costs for your in-person session (on return of receipts). </w:t>
      </w:r>
      <w:r w:rsidRPr="006D333B">
        <w:rPr>
          <w:b/>
        </w:rPr>
        <w:t xml:space="preserve"> </w:t>
      </w:r>
    </w:p>
    <w:p w14:paraId="01BF21DA" w14:textId="728F41BC" w:rsidR="00A30E16" w:rsidRPr="00DE276A" w:rsidRDefault="00F563C5" w:rsidP="007A67B5">
      <w:r>
        <w:rPr>
          <w:b/>
        </w:rPr>
        <w:t xml:space="preserve">Participants – </w:t>
      </w:r>
      <w:r>
        <w:t>Health Consumers Queensland will provide a $60 gift voucher for each participant for their time.</w:t>
      </w:r>
    </w:p>
    <w:p w14:paraId="73E85638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3340A1B9" w14:textId="426720E0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2" w:history="1">
        <w:r w:rsidR="00A30E16" w:rsidRPr="00007899">
          <w:rPr>
            <w:rStyle w:val="Hyperlink"/>
            <w:b/>
          </w:rPr>
          <w:t>projects@hcq.org.au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665B00" w:rsidRPr="00665B00">
        <w:rPr>
          <w:rStyle w:val="Hyperlink"/>
          <w:b/>
          <w:bCs/>
          <w:color w:val="auto"/>
          <w:u w:val="none"/>
        </w:rPr>
        <w:t>19</w:t>
      </w:r>
      <w:r w:rsidR="00665B00" w:rsidRPr="00665B00">
        <w:rPr>
          <w:rStyle w:val="Hyperlink"/>
          <w:b/>
          <w:bCs/>
          <w:color w:val="auto"/>
          <w:u w:val="none"/>
          <w:vertAlign w:val="superscript"/>
        </w:rPr>
        <w:t>th</w:t>
      </w:r>
      <w:r w:rsidR="00665B00" w:rsidRPr="00665B00">
        <w:rPr>
          <w:rStyle w:val="Hyperlink"/>
          <w:b/>
          <w:bCs/>
          <w:color w:val="auto"/>
          <w:u w:val="none"/>
        </w:rPr>
        <w:t xml:space="preserve"> </w:t>
      </w:r>
      <w:r w:rsidR="00665B00">
        <w:rPr>
          <w:rStyle w:val="Hyperlink"/>
          <w:b/>
          <w:bCs/>
          <w:color w:val="auto"/>
          <w:u w:val="none"/>
        </w:rPr>
        <w:t>February</w:t>
      </w:r>
      <w:r w:rsidR="00665B00" w:rsidRPr="00665B00">
        <w:rPr>
          <w:rStyle w:val="Hyperlink"/>
          <w:b/>
          <w:bCs/>
          <w:color w:val="auto"/>
          <w:u w:val="none"/>
        </w:rPr>
        <w:t xml:space="preserve"> at</w:t>
      </w:r>
      <w:r w:rsidR="00665B00">
        <w:rPr>
          <w:rStyle w:val="Hyperlink"/>
          <w:color w:val="auto"/>
          <w:u w:val="none"/>
        </w:rPr>
        <w:t xml:space="preserve"> </w:t>
      </w:r>
      <w:r w:rsidR="00665B00" w:rsidRPr="00665B00">
        <w:rPr>
          <w:rStyle w:val="Hyperlink"/>
          <w:b/>
          <w:bCs/>
          <w:color w:val="auto"/>
          <w:u w:val="none"/>
        </w:rPr>
        <w:t>4pm</w:t>
      </w:r>
      <w:r w:rsidR="00665B00">
        <w:rPr>
          <w:rStyle w:val="Hyperlink"/>
          <w:color w:val="auto"/>
          <w:u w:val="none"/>
        </w:rPr>
        <w:t>.</w:t>
      </w:r>
    </w:p>
    <w:p w14:paraId="518907F4" w14:textId="418EA8A2" w:rsidR="007A67B5" w:rsidRDefault="007A67B5" w:rsidP="007A67B5">
      <w:r w:rsidRPr="00F274C6">
        <w:lastRenderedPageBreak/>
        <w:t xml:space="preserve">For </w:t>
      </w:r>
      <w:r w:rsidR="009C36BA" w:rsidRPr="00F274C6">
        <w:t>assistance,</w:t>
      </w:r>
      <w:r w:rsidRPr="00F274C6">
        <w:t xml:space="preserve"> please contact Health Consumers Queensland via </w:t>
      </w:r>
      <w:hyperlink r:id="rId13" w:history="1">
        <w:r w:rsidR="00A30E16" w:rsidRPr="00007899">
          <w:rPr>
            <w:rStyle w:val="Hyperlink"/>
          </w:rPr>
          <w:t>projects@hcq.org.au</w:t>
        </w:r>
      </w:hyperlink>
      <w:r w:rsidRPr="00F274C6">
        <w:t xml:space="preserve"> or by phone on 07 3012 9090.</w:t>
      </w:r>
    </w:p>
    <w:p w14:paraId="1102FC00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3A8A561B" w14:textId="6B4AE391" w:rsidR="00947678" w:rsidRPr="00996C71" w:rsidRDefault="00665B00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Access My Healthcare Kitchen Table Discussion</w:t>
      </w:r>
    </w:p>
    <w:p w14:paraId="02F0B4BC" w14:textId="77777777" w:rsidR="00665B00" w:rsidRDefault="00665B0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681615EF" w14:textId="330932DA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325460A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A0C663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8BA48B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1D853EB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1BC309CF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45C0731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98CB718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658FAD2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3E9B21B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0EDC977F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FAC929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5A7F9DB0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CD1610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D9F450" w14:textId="77777777" w:rsidR="00A30E16" w:rsidRDefault="00A30E16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Rural and Remote </w:t>
      </w:r>
    </w:p>
    <w:p w14:paraId="3784E9B8" w14:textId="0DF88383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0107021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04E8532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5FCA990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7A5D2D5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63A138FF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B14791C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770549" w14:textId="11B3B888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</w:t>
      </w:r>
      <w:r w:rsidR="009C36BA" w:rsidRPr="00567FA9">
        <w:rPr>
          <w:rFonts w:asciiTheme="minorHAnsi" w:hAnsiTheme="minorHAnsi" w:cstheme="minorHAnsi"/>
          <w:b w:val="0"/>
          <w:color w:val="auto"/>
          <w:sz w:val="22"/>
        </w:rPr>
        <w:t>to state?</w:t>
      </w:r>
    </w:p>
    <w:p w14:paraId="40127A64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1FEE2300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DC17438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lastRenderedPageBreak/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51944B2E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0700B046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407719CA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2EDAC4DF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665B00">
        <w:rPr>
          <w:rFonts w:asciiTheme="minorHAnsi" w:hAnsiTheme="minorHAnsi" w:cstheme="minorHAnsi"/>
          <w:color w:val="auto"/>
          <w:sz w:val="22"/>
        </w:rPr>
        <w:t xml:space="preserve">In 250 words or less, please describe your community connections and networks that you can draw on to host a successful and inclusive kitchen table discussion. </w:t>
      </w:r>
    </w:p>
    <w:p w14:paraId="19BF7AE0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61D9B160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77768D15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1A0F5D56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5A7C65B6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7156DD2B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2C6FA399" w14:textId="77777777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665B00">
        <w:rPr>
          <w:rFonts w:asciiTheme="minorHAnsi" w:hAnsiTheme="minorHAnsi" w:cstheme="minorHAnsi"/>
          <w:color w:val="auto"/>
          <w:sz w:val="22"/>
        </w:rPr>
        <w:t>In 250 words or less, please describe:</w:t>
      </w:r>
    </w:p>
    <w:p w14:paraId="51E3EA7D" w14:textId="729476CD" w:rsidR="00665B00" w:rsidRPr="00665B00" w:rsidRDefault="00665B00" w:rsidP="00665B0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665B00">
        <w:rPr>
          <w:rFonts w:asciiTheme="minorHAnsi" w:hAnsiTheme="minorHAnsi" w:cstheme="minorHAnsi"/>
          <w:color w:val="auto"/>
          <w:sz w:val="22"/>
        </w:rPr>
        <w:t xml:space="preserve">Why you would like to host a kitchen table discussion with your community members to </w:t>
      </w:r>
      <w:r>
        <w:rPr>
          <w:rFonts w:asciiTheme="minorHAnsi" w:hAnsiTheme="minorHAnsi" w:cstheme="minorHAnsi"/>
          <w:color w:val="auto"/>
          <w:sz w:val="22"/>
        </w:rPr>
        <w:t>learn about Access My Healthcare and provide feedback on the website and mobile app.</w:t>
      </w:r>
    </w:p>
    <w:p w14:paraId="6D74BE25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2AF8E46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3F1DE9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D32D60C" w14:textId="11E3E3A3" w:rsidR="008012D5" w:rsidRPr="00567FA9" w:rsidRDefault="00665B0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sectPr w:rsidR="008012D5" w:rsidRPr="00567FA9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91E4" w14:textId="77777777" w:rsidR="00D91B0C" w:rsidRDefault="00D91B0C" w:rsidP="007B1118">
      <w:pPr>
        <w:spacing w:after="0" w:line="240" w:lineRule="auto"/>
      </w:pPr>
      <w:r>
        <w:separator/>
      </w:r>
    </w:p>
  </w:endnote>
  <w:endnote w:type="continuationSeparator" w:id="0">
    <w:p w14:paraId="509C5824" w14:textId="77777777" w:rsidR="00D91B0C" w:rsidRDefault="00D91B0C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5EEDD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297E3B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C7D1" w14:textId="77777777" w:rsidR="00D91B0C" w:rsidRDefault="00D91B0C" w:rsidP="007B1118">
      <w:pPr>
        <w:spacing w:after="0" w:line="240" w:lineRule="auto"/>
      </w:pPr>
      <w:r>
        <w:separator/>
      </w:r>
    </w:p>
  </w:footnote>
  <w:footnote w:type="continuationSeparator" w:id="0">
    <w:p w14:paraId="213B4C08" w14:textId="77777777" w:rsidR="00D91B0C" w:rsidRDefault="00D91B0C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2D17B1C2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58220B4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8ADD7CC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010B28D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242A46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04E15A8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45AC11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7279D0E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03C7FD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C00D63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05C10179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68C"/>
    <w:multiLevelType w:val="hybridMultilevel"/>
    <w:tmpl w:val="BED693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42A3E"/>
    <w:rsid w:val="00067FDB"/>
    <w:rsid w:val="000A1C45"/>
    <w:rsid w:val="000A6D5A"/>
    <w:rsid w:val="0011708E"/>
    <w:rsid w:val="00131245"/>
    <w:rsid w:val="001A491C"/>
    <w:rsid w:val="001B169E"/>
    <w:rsid w:val="001C58BD"/>
    <w:rsid w:val="001D1664"/>
    <w:rsid w:val="00267D92"/>
    <w:rsid w:val="00294A8B"/>
    <w:rsid w:val="002A2A13"/>
    <w:rsid w:val="00341D41"/>
    <w:rsid w:val="003E3B5A"/>
    <w:rsid w:val="003F4436"/>
    <w:rsid w:val="00416D8C"/>
    <w:rsid w:val="00441807"/>
    <w:rsid w:val="00470534"/>
    <w:rsid w:val="00493227"/>
    <w:rsid w:val="00525CBB"/>
    <w:rsid w:val="00525FF4"/>
    <w:rsid w:val="00537C4D"/>
    <w:rsid w:val="00553171"/>
    <w:rsid w:val="00567FA9"/>
    <w:rsid w:val="0058786E"/>
    <w:rsid w:val="005A08BE"/>
    <w:rsid w:val="005C728F"/>
    <w:rsid w:val="005D726A"/>
    <w:rsid w:val="00610286"/>
    <w:rsid w:val="00665B00"/>
    <w:rsid w:val="0066751A"/>
    <w:rsid w:val="00715183"/>
    <w:rsid w:val="0075352C"/>
    <w:rsid w:val="00765F64"/>
    <w:rsid w:val="007708A8"/>
    <w:rsid w:val="007A67B5"/>
    <w:rsid w:val="007B1118"/>
    <w:rsid w:val="007B7AC0"/>
    <w:rsid w:val="007E2D3C"/>
    <w:rsid w:val="008012D5"/>
    <w:rsid w:val="008A7949"/>
    <w:rsid w:val="008C3230"/>
    <w:rsid w:val="008D3ED9"/>
    <w:rsid w:val="00947678"/>
    <w:rsid w:val="00953EBE"/>
    <w:rsid w:val="00996C71"/>
    <w:rsid w:val="009C36BA"/>
    <w:rsid w:val="009D58A6"/>
    <w:rsid w:val="009D66F5"/>
    <w:rsid w:val="00A30E16"/>
    <w:rsid w:val="00AD5F28"/>
    <w:rsid w:val="00AD7DF8"/>
    <w:rsid w:val="00AF4875"/>
    <w:rsid w:val="00B01FEF"/>
    <w:rsid w:val="00BC4847"/>
    <w:rsid w:val="00BE5793"/>
    <w:rsid w:val="00BE64FB"/>
    <w:rsid w:val="00C532E7"/>
    <w:rsid w:val="00C76B78"/>
    <w:rsid w:val="00C836BA"/>
    <w:rsid w:val="00C95682"/>
    <w:rsid w:val="00CF307C"/>
    <w:rsid w:val="00D91B0C"/>
    <w:rsid w:val="00DB3A31"/>
    <w:rsid w:val="00E82D04"/>
    <w:rsid w:val="00F33C39"/>
    <w:rsid w:val="00F457E4"/>
    <w:rsid w:val="00F563C5"/>
    <w:rsid w:val="00F56AC5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C6E31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63C5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jects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cts@h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info.org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ccessmyhealthcare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487D0-C3CC-46CD-8584-B93C05584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427A-624A-48E0-860B-298490D0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FF489-D1C6-4578-834E-2B1125CC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Anne Curtis</cp:lastModifiedBy>
  <cp:revision>6</cp:revision>
  <cp:lastPrinted>2021-02-11T01:53:00Z</cp:lastPrinted>
  <dcterms:created xsi:type="dcterms:W3CDTF">2021-02-11T01:53:00Z</dcterms:created>
  <dcterms:modified xsi:type="dcterms:W3CDTF">2021-02-11T02:03:00Z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