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08D02" w14:textId="6C5E3148" w:rsidR="00CF307C" w:rsidRPr="00CF307C" w:rsidRDefault="00F97361" w:rsidP="00CF307C">
      <w:pPr>
        <w:pStyle w:val="StaffH1"/>
        <w:pBdr>
          <w:bottom w:val="single" w:sz="4" w:space="1" w:color="9B0552"/>
        </w:pBdr>
        <w:jc w:val="center"/>
        <w:rPr>
          <w:sz w:val="36"/>
        </w:rPr>
      </w:pPr>
      <w:r>
        <w:rPr>
          <w:sz w:val="36"/>
        </w:rPr>
        <w:t xml:space="preserve">Application for </w:t>
      </w:r>
      <w:r w:rsidR="00CF307C" w:rsidRPr="00CF307C">
        <w:rPr>
          <w:sz w:val="36"/>
        </w:rPr>
        <w:t>Steering Committee Member</w:t>
      </w:r>
    </w:p>
    <w:p w14:paraId="6A2E371A" w14:textId="047BD2AB" w:rsidR="007A67B5" w:rsidRDefault="00F97361" w:rsidP="007A67B5">
      <w:pPr>
        <w:pStyle w:val="StaffH1"/>
        <w:pBdr>
          <w:bottom w:val="single" w:sz="4" w:space="1" w:color="9B0552"/>
        </w:pBdr>
        <w:jc w:val="center"/>
        <w:rPr>
          <w:sz w:val="36"/>
        </w:rPr>
      </w:pPr>
      <w:r>
        <w:rPr>
          <w:sz w:val="36"/>
        </w:rPr>
        <w:t>Statewide Trauma Clinical Network</w:t>
      </w:r>
      <w:r w:rsidR="00CF307C" w:rsidRPr="00CF307C">
        <w:rPr>
          <w:sz w:val="36"/>
        </w:rPr>
        <w:t xml:space="preserve"> </w:t>
      </w:r>
    </w:p>
    <w:p w14:paraId="0A04D531" w14:textId="3AC9C3DF" w:rsidR="00CF307C" w:rsidRPr="0011708E" w:rsidRDefault="00CF307C" w:rsidP="0011708E">
      <w:pPr>
        <w:pStyle w:val="StaffH1"/>
        <w:rPr>
          <w:rFonts w:asciiTheme="minorHAnsi" w:hAnsiTheme="minorHAnsi" w:cstheme="minorHAnsi"/>
          <w:color w:val="auto"/>
          <w:sz w:val="22"/>
        </w:rPr>
      </w:pPr>
      <w:r w:rsidRPr="00CF307C">
        <w:rPr>
          <w:rFonts w:asciiTheme="minorHAnsi" w:hAnsiTheme="minorHAnsi" w:cstheme="minorHAnsi"/>
          <w:color w:val="auto"/>
          <w:sz w:val="22"/>
        </w:rPr>
        <w:t>Closing date:</w:t>
      </w:r>
      <w:r w:rsidR="001928FC">
        <w:rPr>
          <w:rFonts w:asciiTheme="minorHAnsi" w:hAnsiTheme="minorHAnsi" w:cstheme="minorHAnsi"/>
          <w:color w:val="auto"/>
          <w:sz w:val="22"/>
        </w:rPr>
        <w:t xml:space="preserve"> </w:t>
      </w:r>
      <w:r w:rsidR="00801467">
        <w:rPr>
          <w:rFonts w:asciiTheme="minorHAnsi" w:hAnsiTheme="minorHAnsi" w:cstheme="minorHAnsi"/>
          <w:color w:val="auto"/>
          <w:sz w:val="22"/>
        </w:rPr>
        <w:t xml:space="preserve">Monday </w:t>
      </w:r>
      <w:r w:rsidR="009F35B9">
        <w:rPr>
          <w:rFonts w:asciiTheme="minorHAnsi" w:hAnsiTheme="minorHAnsi" w:cstheme="minorHAnsi"/>
          <w:color w:val="auto"/>
          <w:sz w:val="22"/>
        </w:rPr>
        <w:t>15 March 2021</w:t>
      </w:r>
    </w:p>
    <w:p w14:paraId="6BC69821" w14:textId="77777777" w:rsidR="00733F70" w:rsidRPr="00733F70" w:rsidRDefault="00733F70" w:rsidP="00733F70">
      <w:pPr>
        <w:ind w:right="-755"/>
        <w:rPr>
          <w:bCs/>
          <w:color w:val="9B1D54"/>
          <w:sz w:val="28"/>
          <w:szCs w:val="28"/>
          <w:lang w:val="en-AU"/>
        </w:rPr>
      </w:pPr>
      <w:r w:rsidRPr="00733F70">
        <w:rPr>
          <w:bCs/>
          <w:color w:val="9B1D54"/>
          <w:sz w:val="28"/>
          <w:szCs w:val="28"/>
          <w:lang w:val="en-AU"/>
        </w:rPr>
        <w:t>Clinical Excellence Queensland, Queensland Health </w:t>
      </w:r>
    </w:p>
    <w:p w14:paraId="772958B9" w14:textId="5881340E" w:rsidR="00733F70" w:rsidRDefault="00733F70" w:rsidP="00733F70">
      <w:pPr>
        <w:ind w:right="-755"/>
        <w:rPr>
          <w:b/>
        </w:rPr>
      </w:pPr>
      <w:r w:rsidRPr="001928FC">
        <w:rPr>
          <w:b/>
        </w:rPr>
        <w:t xml:space="preserve">Clinical Excellence Queensland (CEQ) </w:t>
      </w:r>
      <w:r>
        <w:rPr>
          <w:b/>
        </w:rPr>
        <w:t xml:space="preserve">is providing </w:t>
      </w:r>
      <w:r w:rsidR="004B3875">
        <w:rPr>
          <w:b/>
        </w:rPr>
        <w:t>one (1)</w:t>
      </w:r>
      <w:r>
        <w:rPr>
          <w:b/>
        </w:rPr>
        <w:t xml:space="preserve"> health consumer representative a unique opportunity to participate on the Steering Committee for the Statewide Trauma Clinical Network (STCN). </w:t>
      </w:r>
    </w:p>
    <w:p w14:paraId="4A99A5C7" w14:textId="767FD36E" w:rsidR="0087092F" w:rsidRPr="009D49D2" w:rsidRDefault="00733F70" w:rsidP="00733F70">
      <w:pPr>
        <w:ind w:right="-755"/>
        <w:rPr>
          <w:bCs/>
        </w:rPr>
      </w:pPr>
      <w:r w:rsidRPr="007754A7">
        <w:rPr>
          <w:b/>
        </w:rPr>
        <w:t>Clinical Excellence Queensland (CEQ)</w:t>
      </w:r>
      <w:r w:rsidRPr="009D49D2">
        <w:rPr>
          <w:bCs/>
        </w:rPr>
        <w:t xml:space="preserve"> partners with Hospital and Health Services (HHSs), clinicians and consumers to drive measurable improvements in patient care through the continual pursuit of excellence. CEQ does this by identifying, monitoring and promoting improvements in the quality of health services delivered by service providers (both HHSs and private health facilities, globally and within Queensland), and supporting and facilitating the dissemination of best-practice clinical standards and processes that achieve better outcomes for our patients. For more information see https://clinicalexcellence.qld.gov.au/index.php/ </w:t>
      </w:r>
    </w:p>
    <w:p w14:paraId="0C2EE58D" w14:textId="590FEDA2" w:rsidR="00416F72" w:rsidRPr="00D7234D" w:rsidRDefault="00733F70" w:rsidP="00733F70">
      <w:pPr>
        <w:ind w:right="-755"/>
        <w:rPr>
          <w:bCs/>
          <w:lang w:val="en-AU" w:eastAsia="en-AU"/>
        </w:rPr>
      </w:pPr>
      <w:r w:rsidRPr="007754A7">
        <w:rPr>
          <w:b/>
        </w:rPr>
        <w:t>Statewide Clinical Networks</w:t>
      </w:r>
      <w:r w:rsidRPr="009D49D2">
        <w:rPr>
          <w:bCs/>
        </w:rPr>
        <w:t xml:space="preserve"> provide clinical leadership, </w:t>
      </w:r>
      <w:proofErr w:type="gramStart"/>
      <w:r w:rsidRPr="009D49D2">
        <w:rPr>
          <w:bCs/>
        </w:rPr>
        <w:t>expertise</w:t>
      </w:r>
      <w:proofErr w:type="gramEnd"/>
      <w:r w:rsidRPr="009D49D2">
        <w:rPr>
          <w:bCs/>
        </w:rPr>
        <w:t xml:space="preserve"> and advice to Queensland Health with the aim of improving consumer outcomes and experience. They work collaboratively across Queensland to develop and implement evidence-based practice in a coordinated way to achieve high quality healthcare. </w:t>
      </w:r>
      <w:hyperlink r:id="rId11" w:history="1">
        <w:r w:rsidRPr="009D49D2">
          <w:rPr>
            <w:rStyle w:val="Hyperlink"/>
            <w:bCs/>
            <w:lang w:val="en-AU" w:eastAsia="en-AU"/>
          </w:rPr>
          <w:t>Find more information on the Statewide Clinical Networks here</w:t>
        </w:r>
      </w:hyperlink>
      <w:r w:rsidRPr="009D49D2">
        <w:rPr>
          <w:bCs/>
          <w:lang w:val="en-AU" w:eastAsia="en-AU"/>
        </w:rPr>
        <w:t>.</w:t>
      </w:r>
    </w:p>
    <w:p w14:paraId="7DC3421F" w14:textId="692652ED" w:rsidR="00F75AA6" w:rsidRDefault="00F75AA6" w:rsidP="007A67B5">
      <w:pPr>
        <w:ind w:right="-755"/>
        <w:rPr>
          <w:rStyle w:val="Hyperlink"/>
          <w:bCs/>
          <w:color w:val="9B1D54"/>
          <w:sz w:val="28"/>
          <w:szCs w:val="28"/>
          <w:u w:val="none"/>
        </w:rPr>
      </w:pPr>
      <w:r>
        <w:rPr>
          <w:rStyle w:val="Hyperlink"/>
          <w:bCs/>
          <w:color w:val="9B1D54"/>
          <w:sz w:val="28"/>
          <w:szCs w:val="28"/>
          <w:u w:val="none"/>
        </w:rPr>
        <w:t xml:space="preserve">Definition of </w:t>
      </w:r>
      <w:r w:rsidR="004B2C94">
        <w:rPr>
          <w:rStyle w:val="Hyperlink"/>
          <w:bCs/>
          <w:color w:val="9B1D54"/>
          <w:sz w:val="28"/>
          <w:szCs w:val="28"/>
          <w:u w:val="none"/>
        </w:rPr>
        <w:t>T</w:t>
      </w:r>
      <w:r>
        <w:rPr>
          <w:rStyle w:val="Hyperlink"/>
          <w:bCs/>
          <w:color w:val="9B1D54"/>
          <w:sz w:val="28"/>
          <w:szCs w:val="28"/>
          <w:u w:val="none"/>
        </w:rPr>
        <w:t xml:space="preserve">rauma </w:t>
      </w:r>
    </w:p>
    <w:p w14:paraId="08E03DC7" w14:textId="7CEB81D1" w:rsidR="00416F72" w:rsidRDefault="004B2C94" w:rsidP="007A67B5">
      <w:pPr>
        <w:ind w:right="-755"/>
        <w:rPr>
          <w:bCs/>
        </w:rPr>
      </w:pPr>
      <w:r>
        <w:rPr>
          <w:bCs/>
        </w:rPr>
        <w:t>For the purposes of the core work of the STCN, trauma is defined as a</w:t>
      </w:r>
      <w:r w:rsidR="00416F72">
        <w:rPr>
          <w:bCs/>
        </w:rPr>
        <w:t xml:space="preserve">ny </w:t>
      </w:r>
      <w:r>
        <w:rPr>
          <w:bCs/>
        </w:rPr>
        <w:t xml:space="preserve">physical injury sustained by a physical mechanism. Although physical injury can be associated with emotional or psychological injury, </w:t>
      </w:r>
      <w:r w:rsidR="00416F72">
        <w:rPr>
          <w:bCs/>
        </w:rPr>
        <w:t>the health consumer experience of the initial physical trauma journey is of most relevance within the STCN.</w:t>
      </w:r>
    </w:p>
    <w:p w14:paraId="3AD8D6E3" w14:textId="1944C195" w:rsidR="0011708E" w:rsidRPr="0011708E" w:rsidRDefault="007A67B5" w:rsidP="007A67B5">
      <w:pPr>
        <w:ind w:right="-755"/>
        <w:rPr>
          <w:rStyle w:val="Hyperlink"/>
          <w:bCs/>
          <w:color w:val="9B1D54"/>
          <w:sz w:val="28"/>
          <w:szCs w:val="28"/>
          <w:u w:val="none"/>
        </w:rPr>
      </w:pPr>
      <w:r w:rsidRPr="007A67B5">
        <w:rPr>
          <w:rStyle w:val="Hyperlink"/>
          <w:bCs/>
          <w:color w:val="9B1D54"/>
          <w:sz w:val="28"/>
          <w:szCs w:val="28"/>
          <w:u w:val="none"/>
        </w:rPr>
        <w:t>Purpose</w:t>
      </w:r>
    </w:p>
    <w:p w14:paraId="646537A3" w14:textId="4F4D724A" w:rsidR="00F75AA6" w:rsidRDefault="00F75AA6" w:rsidP="0011708E">
      <w:pPr>
        <w:ind w:right="-755"/>
      </w:pPr>
      <w:r w:rsidRPr="002F0959">
        <w:rPr>
          <w:bCs/>
        </w:rPr>
        <w:t xml:space="preserve">The STCN is a group of clinicians from multiple disciplines that help provide expert direction and advice on the delivery and enhancement of trauma services in Queensland. The STCN reports to the Executive Director of the Healthcare Improvement Unit, within Clinical Excellence Queensland, Queensland Health. More information on the network can be found on the STCN </w:t>
      </w:r>
      <w:hyperlink r:id="rId12" w:history="1">
        <w:r w:rsidRPr="002F0959">
          <w:rPr>
            <w:rStyle w:val="Hyperlink"/>
            <w:bCs/>
          </w:rPr>
          <w:t>website</w:t>
        </w:r>
      </w:hyperlink>
      <w:r w:rsidRPr="002F0959">
        <w:rPr>
          <w:bCs/>
        </w:rPr>
        <w:t>.</w:t>
      </w:r>
    </w:p>
    <w:p w14:paraId="1C10A59B" w14:textId="644273E6" w:rsidR="0050205D" w:rsidRDefault="0050205D" w:rsidP="0011708E">
      <w:pPr>
        <w:ind w:right="-755"/>
      </w:pPr>
      <w:r>
        <w:t>The STCN is a leading strategic advisory group for matters relating to trauma service delivery in Queensland. Clinicians provide leadership to the broader advisory groups and trauma services across Queensland to achieve improvements in clinical practice, service access and the trauma patient journey.</w:t>
      </w:r>
    </w:p>
    <w:p w14:paraId="45BB7528" w14:textId="6DF99B9F" w:rsidR="0050205D" w:rsidRDefault="0050205D" w:rsidP="0011708E">
      <w:pPr>
        <w:ind w:right="-755"/>
      </w:pPr>
      <w:r>
        <w:t xml:space="preserve">Key areas of focus include clinical service provision, </w:t>
      </w:r>
      <w:r w:rsidR="0095157C">
        <w:t>evidence-based practice, research and quality improvement, education and training, data collection and reporting.</w:t>
      </w:r>
    </w:p>
    <w:p w14:paraId="6C7D79B4" w14:textId="51899CD1" w:rsidR="0095157C" w:rsidRDefault="0095157C" w:rsidP="0011708E">
      <w:pPr>
        <w:ind w:right="-755"/>
      </w:pPr>
      <w:r>
        <w:lastRenderedPageBreak/>
        <w:t xml:space="preserve">The STCN Steering Committee membership includes clinicians experienced in trauma care across the continuum of care and also includes external representatives such as a </w:t>
      </w:r>
      <w:r w:rsidR="00733F70">
        <w:t>c</w:t>
      </w:r>
      <w:r>
        <w:t>onsumer</w:t>
      </w:r>
      <w:r w:rsidR="00733F70">
        <w:t xml:space="preserve"> and representatives from </w:t>
      </w:r>
      <w:r>
        <w:t>General Practi</w:t>
      </w:r>
      <w:r w:rsidR="00733F70">
        <w:t>ce</w:t>
      </w:r>
      <w:r>
        <w:t xml:space="preserve">, </w:t>
      </w:r>
      <w:r w:rsidR="00733F70">
        <w:t>r</w:t>
      </w:r>
      <w:r>
        <w:t xml:space="preserve">esearch </w:t>
      </w:r>
      <w:r w:rsidR="00733F70">
        <w:t>i</w:t>
      </w:r>
      <w:r w:rsidR="00546A06">
        <w:t>nstitute</w:t>
      </w:r>
      <w:r w:rsidR="00733F70">
        <w:t>s</w:t>
      </w:r>
      <w:r>
        <w:t xml:space="preserve">, pre-hospital and retrieval services and the Australian </w:t>
      </w:r>
      <w:proofErr w:type="spellStart"/>
      <w:r>
        <w:t>Defence</w:t>
      </w:r>
      <w:proofErr w:type="spellEnd"/>
      <w:r>
        <w:t xml:space="preserve"> Force.</w:t>
      </w:r>
    </w:p>
    <w:p w14:paraId="3F36908C" w14:textId="1DAEB344" w:rsidR="0095157C" w:rsidRDefault="0095157C" w:rsidP="0011708E">
      <w:pPr>
        <w:ind w:right="-755"/>
      </w:pPr>
      <w:r>
        <w:t xml:space="preserve">The </w:t>
      </w:r>
      <w:r w:rsidR="00144B44">
        <w:t xml:space="preserve">STCN </w:t>
      </w:r>
      <w:r>
        <w:t>Terms of Reference is attached to this application.</w:t>
      </w:r>
    </w:p>
    <w:p w14:paraId="5220057A" w14:textId="77777777" w:rsidR="00416F72" w:rsidRDefault="00416F72" w:rsidP="0011708E">
      <w:pPr>
        <w:ind w:right="-755"/>
      </w:pPr>
    </w:p>
    <w:p w14:paraId="55A3B514"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Role of the consumer</w:t>
      </w:r>
    </w:p>
    <w:p w14:paraId="0A53B49E" w14:textId="77777777" w:rsidR="00733F70" w:rsidRDefault="0095157C" w:rsidP="007A67B5">
      <w:pPr>
        <w:ind w:right="-755"/>
      </w:pPr>
      <w:r>
        <w:t>The role of the successful applicant will be to</w:t>
      </w:r>
      <w:r w:rsidR="00733F70">
        <w:t>:</w:t>
      </w:r>
    </w:p>
    <w:p w14:paraId="000D486D" w14:textId="080EE00E" w:rsidR="00733F70" w:rsidRDefault="00733F70" w:rsidP="00733F70">
      <w:pPr>
        <w:pStyle w:val="ListParagraph"/>
        <w:numPr>
          <w:ilvl w:val="0"/>
          <w:numId w:val="9"/>
        </w:numPr>
        <w:ind w:right="-755"/>
      </w:pPr>
      <w:r>
        <w:t>A</w:t>
      </w:r>
      <w:r w:rsidR="0095157C">
        <w:t xml:space="preserve">ttend all STCN Steering Committee meetings </w:t>
      </w:r>
    </w:p>
    <w:p w14:paraId="2F17EC06" w14:textId="3FFA7596" w:rsidR="0095157C" w:rsidRDefault="00733F70" w:rsidP="001928FC">
      <w:pPr>
        <w:pStyle w:val="ListParagraph"/>
        <w:numPr>
          <w:ilvl w:val="0"/>
          <w:numId w:val="9"/>
        </w:numPr>
        <w:ind w:right="-755"/>
      </w:pPr>
      <w:r>
        <w:t>A</w:t>
      </w:r>
      <w:r w:rsidR="0095157C">
        <w:t xml:space="preserve">ctively participate in Steering Committee activities </w:t>
      </w:r>
      <w:r w:rsidR="00F4047C">
        <w:t xml:space="preserve">including </w:t>
      </w:r>
      <w:r w:rsidR="0095157C">
        <w:t>pre-meeting reading, discussions</w:t>
      </w:r>
      <w:r w:rsidR="00F4047C">
        <w:t xml:space="preserve"> and the provision </w:t>
      </w:r>
      <w:r w:rsidR="0095157C">
        <w:t>of feedback and advice.</w:t>
      </w:r>
    </w:p>
    <w:p w14:paraId="5A9E0FB1" w14:textId="12CE48F5" w:rsidR="00733F70" w:rsidRDefault="00733F70" w:rsidP="00733F70">
      <w:pPr>
        <w:pStyle w:val="ListParagraph"/>
        <w:numPr>
          <w:ilvl w:val="0"/>
          <w:numId w:val="9"/>
        </w:numPr>
        <w:ind w:right="-755"/>
        <w:rPr>
          <w:lang w:val="en-AU"/>
        </w:rPr>
      </w:pPr>
      <w:r w:rsidRPr="00733F70">
        <w:rPr>
          <w:lang w:val="en-AU"/>
        </w:rPr>
        <w:t>Provide strategic advice to the S</w:t>
      </w:r>
      <w:r w:rsidR="001928FC">
        <w:rPr>
          <w:lang w:val="en-AU"/>
        </w:rPr>
        <w:t>T</w:t>
      </w:r>
      <w:r w:rsidRPr="00733F70">
        <w:rPr>
          <w:lang w:val="en-AU"/>
        </w:rPr>
        <w:t>CN</w:t>
      </w:r>
      <w:r w:rsidR="00F4047C">
        <w:rPr>
          <w:lang w:val="en-AU"/>
        </w:rPr>
        <w:t xml:space="preserve"> and working groups</w:t>
      </w:r>
      <w:r w:rsidRPr="00733F70">
        <w:rPr>
          <w:lang w:val="en-AU"/>
        </w:rPr>
        <w:t xml:space="preserve"> from a consumer perspective</w:t>
      </w:r>
      <w:r w:rsidR="00F4047C">
        <w:rPr>
          <w:lang w:val="en-AU"/>
        </w:rPr>
        <w:t xml:space="preserve"> as required.</w:t>
      </w:r>
    </w:p>
    <w:p w14:paraId="1517373E" w14:textId="77777777" w:rsidR="00733F70" w:rsidRDefault="00733F70" w:rsidP="00733F70">
      <w:pPr>
        <w:pStyle w:val="ListParagraph"/>
        <w:numPr>
          <w:ilvl w:val="0"/>
          <w:numId w:val="9"/>
        </w:numPr>
        <w:ind w:right="-755"/>
        <w:rPr>
          <w:lang w:val="en-AU"/>
        </w:rPr>
      </w:pPr>
      <w:r w:rsidRPr="00733F70">
        <w:rPr>
          <w:lang w:val="en-AU"/>
        </w:rPr>
        <w:t>Adhere to the Terms of Reference and same guidelines as expected of all other members of the network. </w:t>
      </w:r>
    </w:p>
    <w:p w14:paraId="7162599C" w14:textId="77777777" w:rsidR="00416F72" w:rsidRDefault="00733F70" w:rsidP="001928FC">
      <w:pPr>
        <w:pStyle w:val="ListParagraph"/>
        <w:numPr>
          <w:ilvl w:val="0"/>
          <w:numId w:val="9"/>
        </w:numPr>
        <w:ind w:right="-755"/>
        <w:rPr>
          <w:lang w:val="en-AU"/>
        </w:rPr>
      </w:pPr>
      <w:r w:rsidRPr="001928FC">
        <w:rPr>
          <w:lang w:val="en-AU"/>
        </w:rPr>
        <w:t>Participate as an equal member of the network.</w:t>
      </w:r>
    </w:p>
    <w:p w14:paraId="2F104F1F" w14:textId="3254166F" w:rsidR="00733F70" w:rsidRPr="006400F3" w:rsidRDefault="00733F70" w:rsidP="006400F3">
      <w:pPr>
        <w:ind w:left="360" w:right="-755"/>
        <w:rPr>
          <w:rStyle w:val="Hyperlink"/>
          <w:color w:val="auto"/>
          <w:u w:val="none"/>
          <w:lang w:val="en-AU"/>
        </w:rPr>
      </w:pPr>
    </w:p>
    <w:p w14:paraId="187F9A6B"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Who is it for?</w:t>
      </w:r>
    </w:p>
    <w:p w14:paraId="0E296B75" w14:textId="2CA49AD8" w:rsidR="005A08BE" w:rsidRDefault="001E4B63" w:rsidP="00FC4BAE">
      <w:pPr>
        <w:spacing w:after="0"/>
        <w:ind w:right="-754"/>
      </w:pPr>
      <w:r>
        <w:t xml:space="preserve">This </w:t>
      </w:r>
      <w:r w:rsidR="005A08BE">
        <w:t xml:space="preserve">opportunity would suit a consumer or </w:t>
      </w:r>
      <w:proofErr w:type="spellStart"/>
      <w:r w:rsidR="005A08BE">
        <w:t>carer</w:t>
      </w:r>
      <w:proofErr w:type="spellEnd"/>
      <w:r w:rsidR="005A08BE">
        <w:t xml:space="preserve"> representative </w:t>
      </w:r>
      <w:r>
        <w:t xml:space="preserve">that has been involved in trauma care, </w:t>
      </w:r>
      <w:r w:rsidR="005A08BE">
        <w:t>with at least 6 months committee</w:t>
      </w:r>
      <w:r w:rsidR="00416F72">
        <w:t xml:space="preserve"> or educational </w:t>
      </w:r>
      <w:r w:rsidR="005A08BE">
        <w:t xml:space="preserve">experience, either at the Hospital and Health Service, or </w:t>
      </w:r>
      <w:r w:rsidR="00733F70">
        <w:t>s</w:t>
      </w:r>
      <w:r w:rsidR="005A08BE">
        <w:t xml:space="preserve">tatewide level. </w:t>
      </w:r>
    </w:p>
    <w:p w14:paraId="0F391FEB" w14:textId="77777777" w:rsidR="00416F72" w:rsidRDefault="00416F72" w:rsidP="00FC4BAE">
      <w:pPr>
        <w:spacing w:after="0"/>
        <w:ind w:right="-754"/>
      </w:pPr>
    </w:p>
    <w:p w14:paraId="7A6555FD" w14:textId="12947AAA"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 xml:space="preserve">Time and location </w:t>
      </w:r>
    </w:p>
    <w:p w14:paraId="349D2801" w14:textId="77777777" w:rsidR="002B0ACA" w:rsidRDefault="001E4B63" w:rsidP="005D726A">
      <w:pPr>
        <w:autoSpaceDE w:val="0"/>
        <w:autoSpaceDN w:val="0"/>
        <w:adjustRightInd w:val="0"/>
        <w:spacing w:after="120" w:line="240" w:lineRule="auto"/>
        <w:rPr>
          <w:bCs/>
        </w:rPr>
      </w:pPr>
      <w:r>
        <w:rPr>
          <w:bCs/>
        </w:rPr>
        <w:t xml:space="preserve">Meetings are held quarterly in February, May, </w:t>
      </w:r>
      <w:proofErr w:type="gramStart"/>
      <w:r>
        <w:rPr>
          <w:bCs/>
        </w:rPr>
        <w:t>August</w:t>
      </w:r>
      <w:proofErr w:type="gramEnd"/>
      <w:r>
        <w:rPr>
          <w:bCs/>
        </w:rPr>
        <w:t xml:space="preserve"> and November each year, </w:t>
      </w:r>
      <w:r w:rsidR="00F4047C">
        <w:rPr>
          <w:bCs/>
        </w:rPr>
        <w:t xml:space="preserve">for </w:t>
      </w:r>
      <w:r>
        <w:rPr>
          <w:bCs/>
        </w:rPr>
        <w:t xml:space="preserve">a duration of two hours. They are hosted at the Healthcare Improvement Unit, 15 Butterfield Street, Herston (opposite the Royal Brisbane and Women’s Hospital in Brisbane) and parking for the meeting </w:t>
      </w:r>
      <w:r w:rsidR="00144B44">
        <w:rPr>
          <w:bCs/>
        </w:rPr>
        <w:t xml:space="preserve">is </w:t>
      </w:r>
      <w:r>
        <w:rPr>
          <w:bCs/>
        </w:rPr>
        <w:t>under</w:t>
      </w:r>
      <w:r w:rsidR="00144B44">
        <w:rPr>
          <w:bCs/>
        </w:rPr>
        <w:t>neath</w:t>
      </w:r>
      <w:r>
        <w:rPr>
          <w:bCs/>
        </w:rPr>
        <w:t xml:space="preserve"> the building. </w:t>
      </w:r>
    </w:p>
    <w:p w14:paraId="32D82A8C" w14:textId="5BC61D9C" w:rsidR="00292D9D" w:rsidRPr="001928FC" w:rsidRDefault="001E4B63" w:rsidP="00416F72">
      <w:pPr>
        <w:autoSpaceDE w:val="0"/>
        <w:autoSpaceDN w:val="0"/>
        <w:adjustRightInd w:val="0"/>
        <w:spacing w:after="120" w:line="240" w:lineRule="auto"/>
        <w:rPr>
          <w:b/>
          <w:bCs/>
        </w:rPr>
      </w:pPr>
      <w:r>
        <w:rPr>
          <w:bCs/>
        </w:rPr>
        <w:t>Remote dial in via Microsoft Teams is also a</w:t>
      </w:r>
      <w:r w:rsidR="00416F72">
        <w:rPr>
          <w:bCs/>
        </w:rPr>
        <w:t xml:space="preserve">vailable if the </w:t>
      </w:r>
      <w:r w:rsidR="009435DB">
        <w:rPr>
          <w:bCs/>
        </w:rPr>
        <w:t>c</w:t>
      </w:r>
      <w:r w:rsidR="00416F72">
        <w:rPr>
          <w:bCs/>
        </w:rPr>
        <w:t>onsumer resides outside of the greater Brisbane area</w:t>
      </w:r>
      <w:r>
        <w:rPr>
          <w:bCs/>
        </w:rPr>
        <w:t>.</w:t>
      </w:r>
      <w:r w:rsidR="00416F72">
        <w:rPr>
          <w:bCs/>
        </w:rPr>
        <w:t xml:space="preserve"> </w:t>
      </w:r>
      <w:r w:rsidR="00292D9D" w:rsidRPr="001928FC">
        <w:rPr>
          <w:b/>
          <w:bCs/>
        </w:rPr>
        <w:t xml:space="preserve">Access to a computer and reliable internet service would be </w:t>
      </w:r>
      <w:r w:rsidR="00416F72">
        <w:rPr>
          <w:b/>
          <w:bCs/>
        </w:rPr>
        <w:t xml:space="preserve">required if this is the case. </w:t>
      </w:r>
    </w:p>
    <w:p w14:paraId="078F6909" w14:textId="77777777" w:rsidR="002B0ACA" w:rsidRDefault="002B0ACA" w:rsidP="005D726A">
      <w:pPr>
        <w:autoSpaceDE w:val="0"/>
        <w:autoSpaceDN w:val="0"/>
        <w:adjustRightInd w:val="0"/>
        <w:spacing w:after="120" w:line="240" w:lineRule="auto"/>
      </w:pPr>
    </w:p>
    <w:p w14:paraId="7BCFA167" w14:textId="77777777" w:rsidR="007A67B5" w:rsidRPr="00996C71" w:rsidRDefault="007A67B5" w:rsidP="007A67B5">
      <w:pPr>
        <w:autoSpaceDE w:val="0"/>
        <w:autoSpaceDN w:val="0"/>
        <w:adjustRightInd w:val="0"/>
        <w:spacing w:after="120" w:line="240" w:lineRule="auto"/>
        <w:rPr>
          <w:rStyle w:val="Hyperlink"/>
          <w:u w:val="none"/>
        </w:rPr>
      </w:pPr>
      <w:r w:rsidRPr="00996C71">
        <w:rPr>
          <w:rStyle w:val="Hyperlink"/>
          <w:bCs/>
          <w:color w:val="9B1D54"/>
          <w:sz w:val="28"/>
          <w:szCs w:val="28"/>
          <w:u w:val="none"/>
        </w:rPr>
        <w:t>Remuneration and Support</w:t>
      </w:r>
    </w:p>
    <w:p w14:paraId="73B64B6F" w14:textId="684CB168" w:rsidR="001E4B63" w:rsidRPr="004F0684" w:rsidRDefault="00D66045" w:rsidP="001928FC">
      <w:pPr>
        <w:ind w:right="-755"/>
        <w:rPr>
          <w:rFonts w:cstheme="minorHAnsi"/>
          <w:bCs/>
        </w:rPr>
      </w:pPr>
      <w:r>
        <w:t xml:space="preserve">The consumer selected </w:t>
      </w:r>
      <w:r w:rsidR="001E4B63" w:rsidRPr="00DE276A">
        <w:t xml:space="preserve">will be remunerated for their time in line with </w:t>
      </w:r>
      <w:hyperlink r:id="rId13" w:history="1">
        <w:r w:rsidR="001E4B63" w:rsidRPr="00671551">
          <w:rPr>
            <w:rStyle w:val="Hyperlink"/>
          </w:rPr>
          <w:t>Health Consumers Queensland’s remuneration position statement</w:t>
        </w:r>
      </w:hyperlink>
      <w:r w:rsidR="00546A06">
        <w:t>.</w:t>
      </w:r>
      <w:r w:rsidR="00733F70">
        <w:t xml:space="preserve"> </w:t>
      </w:r>
      <w:r w:rsidR="00733F70" w:rsidRPr="00D3744D">
        <w:rPr>
          <w:rFonts w:cstheme="minorHAnsi"/>
          <w:bCs/>
        </w:rPr>
        <w:t>Should parking and travel be required expenses will be covered</w:t>
      </w:r>
      <w:r w:rsidR="00733F70">
        <w:rPr>
          <w:rFonts w:cstheme="minorHAnsi"/>
          <w:bCs/>
        </w:rPr>
        <w:t xml:space="preserve"> in accordance with this statement</w:t>
      </w:r>
      <w:r w:rsidR="00733F70" w:rsidRPr="00D3744D">
        <w:rPr>
          <w:rFonts w:cstheme="minorHAnsi"/>
          <w:bCs/>
        </w:rPr>
        <w:t xml:space="preserve">. </w:t>
      </w:r>
    </w:p>
    <w:p w14:paraId="15D6351C" w14:textId="77777777"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t>How to apply</w:t>
      </w:r>
    </w:p>
    <w:p w14:paraId="55C01EA1" w14:textId="1BE1F8EC" w:rsidR="007A67B5" w:rsidRPr="00C71D82" w:rsidRDefault="007A67B5" w:rsidP="007A67B5">
      <w:pPr>
        <w:rPr>
          <w:b/>
          <w:bCs/>
          <w:color w:val="0563C1" w:themeColor="hyperlink"/>
          <w:u w:val="single"/>
        </w:rPr>
      </w:pPr>
      <w:r w:rsidRPr="00624D12">
        <w:rPr>
          <w:b/>
        </w:rPr>
        <w:lastRenderedPageBreak/>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4" w:history="1">
        <w:r w:rsidRPr="00F274C6">
          <w:rPr>
            <w:rStyle w:val="Hyperlink"/>
            <w:b/>
          </w:rPr>
          <w:t>consumer@hcq.org.au</w:t>
        </w:r>
      </w:hyperlink>
      <w:r>
        <w:rPr>
          <w:rStyle w:val="Hyperlink"/>
          <w:b/>
        </w:rPr>
        <w:t xml:space="preserve"> </w:t>
      </w:r>
      <w:r w:rsidRPr="00C71D82">
        <w:rPr>
          <w:rStyle w:val="Hyperlink"/>
          <w:b/>
          <w:bCs/>
          <w:color w:val="auto"/>
          <w:u w:val="none"/>
        </w:rPr>
        <w:t>by</w:t>
      </w:r>
      <w:r w:rsidR="00416F72" w:rsidRPr="00C71D82">
        <w:rPr>
          <w:rStyle w:val="Hyperlink"/>
          <w:b/>
          <w:bCs/>
          <w:color w:val="auto"/>
          <w:u w:val="none"/>
        </w:rPr>
        <w:t xml:space="preserve"> Monday </w:t>
      </w:r>
      <w:r w:rsidR="009C1817">
        <w:rPr>
          <w:rStyle w:val="Hyperlink"/>
          <w:b/>
          <w:bCs/>
          <w:color w:val="auto"/>
          <w:u w:val="none"/>
        </w:rPr>
        <w:t>15 March 2021.</w:t>
      </w:r>
    </w:p>
    <w:p w14:paraId="1C9ED153" w14:textId="102D86CD" w:rsidR="00C71D82" w:rsidRDefault="007A67B5" w:rsidP="00C71D82">
      <w:r w:rsidRPr="00F274C6">
        <w:t xml:space="preserve">For </w:t>
      </w:r>
      <w:proofErr w:type="gramStart"/>
      <w:r w:rsidRPr="00F274C6">
        <w:t>assistance</w:t>
      </w:r>
      <w:proofErr w:type="gramEnd"/>
      <w:r w:rsidRPr="00F274C6">
        <w:t xml:space="preserve"> please contact Health Consumers Queensland via </w:t>
      </w:r>
      <w:hyperlink r:id="rId15" w:history="1">
        <w:r w:rsidRPr="00F274C6">
          <w:rPr>
            <w:rStyle w:val="Hyperlink"/>
          </w:rPr>
          <w:t>consumer@hcq.org.au</w:t>
        </w:r>
      </w:hyperlink>
      <w:r w:rsidRPr="00F274C6">
        <w:t xml:space="preserve"> or by phone on 07 3012 9090.</w:t>
      </w:r>
    </w:p>
    <w:p w14:paraId="4AFE82AF" w14:textId="1BA1E2C0" w:rsidR="000909E0" w:rsidRPr="000909E0" w:rsidRDefault="007A67B5" w:rsidP="00FC76B6">
      <w:pPr>
        <w:jc w:val="center"/>
        <w:rPr>
          <w:b/>
          <w:sz w:val="32"/>
          <w:szCs w:val="24"/>
        </w:rPr>
      </w:pPr>
      <w:r>
        <w:rPr>
          <w:b/>
          <w:sz w:val="32"/>
          <w:szCs w:val="24"/>
        </w:rPr>
        <w:t>Consumer Application Form</w:t>
      </w:r>
      <w:r w:rsidR="00FC76B6">
        <w:rPr>
          <w:b/>
          <w:sz w:val="32"/>
          <w:szCs w:val="24"/>
        </w:rPr>
        <w:t xml:space="preserve">: </w:t>
      </w:r>
      <w:r w:rsidR="000909E0" w:rsidRPr="000909E0">
        <w:rPr>
          <w:b/>
          <w:sz w:val="32"/>
          <w:szCs w:val="24"/>
        </w:rPr>
        <w:t>Steering Committee Member</w:t>
      </w:r>
    </w:p>
    <w:p w14:paraId="630C2725" w14:textId="5F4A4300" w:rsidR="00947678" w:rsidRPr="00996C71" w:rsidRDefault="000909E0">
      <w:pPr>
        <w:jc w:val="center"/>
        <w:rPr>
          <w:b/>
          <w:sz w:val="32"/>
          <w:szCs w:val="24"/>
        </w:rPr>
      </w:pPr>
      <w:r w:rsidRPr="000909E0">
        <w:rPr>
          <w:b/>
          <w:sz w:val="32"/>
          <w:szCs w:val="24"/>
        </w:rPr>
        <w:t xml:space="preserve">Statewide Trauma Clinical Network </w:t>
      </w:r>
    </w:p>
    <w:p w14:paraId="6446A1BD"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Full name:</w:t>
      </w:r>
    </w:p>
    <w:p w14:paraId="04B7C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1901D63B"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768448AE"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4BE544B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35899338"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79E19F69"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5FAD77B4"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1CD61846"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58A4689A"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6"/>
          <w:footerReference w:type="default" r:id="rId17"/>
          <w:pgSz w:w="12240" w:h="15840"/>
          <w:pgMar w:top="1440" w:right="1440" w:bottom="1440" w:left="1440" w:header="11" w:footer="720" w:gutter="0"/>
          <w:cols w:space="720"/>
          <w:docGrid w:linePitch="360"/>
        </w:sectPr>
      </w:pPr>
    </w:p>
    <w:p w14:paraId="364DC1EC"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60155CBD"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2E93AEFB"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36FF9CC2" w14:textId="7435E83D" w:rsidR="000909E0" w:rsidRDefault="0060722B"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 xml:space="preserve">Accessed or cared for someone who has accessed </w:t>
      </w:r>
      <w:r w:rsidR="00E93814" w:rsidRPr="00E93814">
        <w:rPr>
          <w:rFonts w:asciiTheme="minorHAnsi" w:hAnsiTheme="minorHAnsi" w:cstheme="minorHAnsi"/>
          <w:b w:val="0"/>
          <w:color w:val="auto"/>
          <w:sz w:val="22"/>
        </w:rPr>
        <w:t>trauma care</w:t>
      </w:r>
      <w:r w:rsidR="007043C0">
        <w:rPr>
          <w:rFonts w:asciiTheme="minorHAnsi" w:hAnsiTheme="minorHAnsi" w:cstheme="minorHAnsi"/>
          <w:b w:val="0"/>
          <w:color w:val="auto"/>
          <w:sz w:val="22"/>
        </w:rPr>
        <w:t xml:space="preserve"> in Queensland</w:t>
      </w:r>
    </w:p>
    <w:p w14:paraId="72AC915F" w14:textId="54C57AAA"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6151E09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1D21330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1DAE91C5"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4D1AF554"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1E426B4A" w14:textId="77777777" w:rsidR="00B75112" w:rsidRPr="00567FA9" w:rsidRDefault="00B75112"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LGBTIQ</w:t>
      </w:r>
      <w:r w:rsidR="00480614">
        <w:rPr>
          <w:rFonts w:asciiTheme="minorHAnsi" w:hAnsiTheme="minorHAnsi" w:cstheme="minorHAnsi"/>
          <w:b w:val="0"/>
          <w:color w:val="auto"/>
          <w:sz w:val="22"/>
        </w:rPr>
        <w:t>+</w:t>
      </w:r>
    </w:p>
    <w:p w14:paraId="751AAC34"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1B4D3B2F"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7CE429F3" w14:textId="77777777" w:rsidR="009D66F5" w:rsidRPr="00567FA9" w:rsidRDefault="008C3230" w:rsidP="00341D41">
      <w:pPr>
        <w:pStyle w:val="StaffH1"/>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w:t>
      </w:r>
      <w:proofErr w:type="gramStart"/>
      <w:r w:rsidRPr="00567FA9">
        <w:rPr>
          <w:rFonts w:asciiTheme="minorHAnsi" w:hAnsiTheme="minorHAnsi" w:cstheme="minorHAnsi"/>
          <w:b w:val="0"/>
          <w:color w:val="auto"/>
          <w:sz w:val="22"/>
        </w:rPr>
        <w:t>to state</w:t>
      </w:r>
      <w:proofErr w:type="gramEnd"/>
    </w:p>
    <w:p w14:paraId="582A521A"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proofErr w:type="gramStart"/>
      <w:r w:rsidRPr="00567FA9">
        <w:rPr>
          <w:rFonts w:asciiTheme="minorHAnsi" w:hAnsiTheme="minorHAnsi" w:cstheme="minorHAnsi"/>
          <w:b w:val="0"/>
          <w:color w:val="auto"/>
          <w:sz w:val="22"/>
        </w:rPr>
        <w:t>Carer</w:t>
      </w:r>
      <w:proofErr w:type="gramEnd"/>
    </w:p>
    <w:p w14:paraId="6A9C8EFA"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325FD5E" w14:textId="77777777"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lastRenderedPageBreak/>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3375ABE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562"/>
        <w:gridCol w:w="1826"/>
        <w:gridCol w:w="1384"/>
        <w:gridCol w:w="1246"/>
        <w:gridCol w:w="2028"/>
      </w:tblGrid>
      <w:tr w:rsidR="00E04855" w:rsidRPr="00E04855" w14:paraId="71346973" w14:textId="77777777" w:rsidTr="00475D15">
        <w:trPr>
          <w:trHeight w:val="430"/>
        </w:trPr>
        <w:tc>
          <w:tcPr>
            <w:tcW w:w="1146" w:type="dxa"/>
            <w:tcBorders>
              <w:top w:val="nil"/>
              <w:left w:val="nil"/>
              <w:bottom w:val="nil"/>
              <w:right w:val="nil"/>
            </w:tcBorders>
            <w:shd w:val="clear" w:color="auto" w:fill="FFFFFF" w:themeFill="background1"/>
            <w:vAlign w:val="center"/>
          </w:tcPr>
          <w:p w14:paraId="444FC170" w14:textId="77777777" w:rsidR="00E04855" w:rsidRPr="00E04855" w:rsidRDefault="00E04855" w:rsidP="00E04855">
            <w:pPr>
              <w:widowControl w:val="0"/>
              <w:spacing w:before="94" w:after="0" w:line="240" w:lineRule="auto"/>
              <w:ind w:right="-20"/>
              <w:rPr>
                <w:rFonts w:ascii="Calibri" w:eastAsia="Calibri" w:hAnsi="Calibri" w:cs="Times New Roman"/>
                <w:b/>
                <w:noProof/>
                <w:sz w:val="11"/>
                <w:szCs w:val="11"/>
                <w:lang w:val="en-AU" w:eastAsia="en-AU"/>
              </w:rPr>
            </w:pPr>
            <w:r w:rsidRPr="00E04855">
              <w:rPr>
                <w:rFonts w:ascii="Calibri" w:eastAsia="Calibri" w:hAnsi="Calibri" w:cs="Calibri"/>
                <w:b/>
                <w:bCs/>
                <w:spacing w:val="1"/>
                <w:position w:val="1"/>
                <w:lang w:val="en-AU"/>
              </w:rPr>
              <w:t>G</w:t>
            </w:r>
            <w:r w:rsidRPr="00E04855">
              <w:rPr>
                <w:rFonts w:ascii="Calibri" w:eastAsia="Calibri" w:hAnsi="Calibri" w:cs="Calibri"/>
                <w:b/>
                <w:bCs/>
                <w:spacing w:val="-1"/>
                <w:position w:val="1"/>
                <w:lang w:val="en-AU"/>
              </w:rPr>
              <w:t>ende</w:t>
            </w:r>
            <w:r w:rsidRPr="00E04855">
              <w:rPr>
                <w:rFonts w:ascii="Calibri" w:eastAsia="Calibri" w:hAnsi="Calibri" w:cs="Calibri"/>
                <w:b/>
                <w:bCs/>
                <w:position w:val="1"/>
                <w:lang w:val="en-AU"/>
              </w:rPr>
              <w:t>r</w:t>
            </w:r>
            <w:r w:rsidR="00475D15">
              <w:rPr>
                <w:rFonts w:ascii="Calibri" w:eastAsia="Calibri" w:hAnsi="Calibri" w:cs="Calibri"/>
                <w:b/>
                <w:bCs/>
                <w:position w:val="1"/>
                <w:lang w:val="en-AU"/>
              </w:rPr>
              <w:t>:</w:t>
            </w:r>
          </w:p>
        </w:tc>
        <w:tc>
          <w:tcPr>
            <w:tcW w:w="1562" w:type="dxa"/>
            <w:tcBorders>
              <w:top w:val="nil"/>
              <w:left w:val="nil"/>
              <w:bottom w:val="nil"/>
              <w:right w:val="nil"/>
            </w:tcBorders>
            <w:shd w:val="clear" w:color="auto" w:fill="FFFFFF" w:themeFill="background1"/>
            <w:vAlign w:val="center"/>
          </w:tcPr>
          <w:p w14:paraId="42BCB257"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Calibri" w:eastAsia="Calibri" w:hAnsi="Calibri" w:cs="Calibri"/>
                <w:bCs/>
                <w:spacing w:val="1"/>
                <w:position w:val="1"/>
                <w:lang w:val="en-AU"/>
              </w:rPr>
              <w:t xml:space="preserve"> Male</w:t>
            </w:r>
          </w:p>
        </w:tc>
        <w:tc>
          <w:tcPr>
            <w:tcW w:w="1826" w:type="dxa"/>
            <w:tcBorders>
              <w:top w:val="nil"/>
              <w:left w:val="nil"/>
              <w:bottom w:val="nil"/>
              <w:right w:val="nil"/>
            </w:tcBorders>
            <w:shd w:val="clear" w:color="auto" w:fill="FFFFFF" w:themeFill="background1"/>
            <w:vAlign w:val="center"/>
          </w:tcPr>
          <w:p w14:paraId="5C12867A" w14:textId="77777777" w:rsidR="00E04855" w:rsidRPr="00E04855" w:rsidRDefault="00E04855" w:rsidP="00E04855">
            <w:pPr>
              <w:widowControl w:val="0"/>
              <w:tabs>
                <w:tab w:val="left" w:pos="4720"/>
                <w:tab w:val="left" w:pos="5440"/>
              </w:tabs>
              <w:spacing w:after="0" w:line="266" w:lineRule="exact"/>
              <w:ind w:right="-20"/>
              <w:rPr>
                <w:rFonts w:ascii="Calibri" w:eastAsia="Calibri" w:hAnsi="Calibri" w:cs="Calibri"/>
                <w:bCs/>
                <w:spacing w:val="1"/>
                <w:position w:val="1"/>
                <w:lang w:val="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lang w:val="en-AU"/>
              </w:rPr>
              <w:t>Fe</w:t>
            </w:r>
            <w:r w:rsidRPr="00E04855">
              <w:rPr>
                <w:rFonts w:ascii="Calibri" w:eastAsia="Calibri" w:hAnsi="Calibri" w:cs="Calibri"/>
                <w:bCs/>
                <w:lang w:val="en-AU"/>
              </w:rPr>
              <w:t>m</w:t>
            </w:r>
            <w:r w:rsidRPr="00E04855">
              <w:rPr>
                <w:rFonts w:ascii="Calibri" w:eastAsia="Calibri" w:hAnsi="Calibri" w:cs="Calibri"/>
                <w:bCs/>
                <w:spacing w:val="-1"/>
                <w:lang w:val="en-AU"/>
              </w:rPr>
              <w:t>a</w:t>
            </w:r>
            <w:r w:rsidRPr="00E04855">
              <w:rPr>
                <w:rFonts w:ascii="Calibri" w:eastAsia="Calibri" w:hAnsi="Calibri" w:cs="Calibri"/>
                <w:bCs/>
                <w:spacing w:val="1"/>
                <w:lang w:val="en-AU"/>
              </w:rPr>
              <w:t>l</w:t>
            </w:r>
            <w:r w:rsidRPr="00E04855">
              <w:rPr>
                <w:rFonts w:ascii="Calibri" w:eastAsia="Calibri" w:hAnsi="Calibri" w:cs="Calibri"/>
                <w:bCs/>
                <w:lang w:val="en-AU"/>
              </w:rPr>
              <w:t>e</w:t>
            </w:r>
          </w:p>
        </w:tc>
        <w:tc>
          <w:tcPr>
            <w:tcW w:w="1384" w:type="dxa"/>
            <w:tcBorders>
              <w:top w:val="nil"/>
              <w:left w:val="nil"/>
              <w:bottom w:val="nil"/>
              <w:right w:val="nil"/>
            </w:tcBorders>
            <w:shd w:val="clear" w:color="auto" w:fill="FFFFFF" w:themeFill="background1"/>
            <w:vAlign w:val="center"/>
          </w:tcPr>
          <w:p w14:paraId="4DBDCC1D"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Wingdings" w:hAnsi="Calibri" w:cs="Wingdings"/>
                <w:lang w:val="en-AU"/>
              </w:rPr>
              <w:t>Intersex</w:t>
            </w:r>
          </w:p>
        </w:tc>
        <w:tc>
          <w:tcPr>
            <w:tcW w:w="1246" w:type="dxa"/>
            <w:tcBorders>
              <w:top w:val="nil"/>
              <w:left w:val="nil"/>
              <w:bottom w:val="nil"/>
              <w:right w:val="nil"/>
            </w:tcBorders>
            <w:shd w:val="clear" w:color="auto" w:fill="FFFFFF" w:themeFill="background1"/>
            <w:vAlign w:val="center"/>
          </w:tcPr>
          <w:p w14:paraId="054C4D8E"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Other</w:t>
            </w:r>
          </w:p>
        </w:tc>
        <w:tc>
          <w:tcPr>
            <w:tcW w:w="2028" w:type="dxa"/>
            <w:tcBorders>
              <w:top w:val="nil"/>
              <w:left w:val="nil"/>
              <w:bottom w:val="nil"/>
              <w:right w:val="nil"/>
            </w:tcBorders>
            <w:shd w:val="clear" w:color="auto" w:fill="FFFFFF" w:themeFill="background1"/>
            <w:vAlign w:val="center"/>
          </w:tcPr>
          <w:p w14:paraId="5B47EBF8" w14:textId="77777777" w:rsidR="00E04855" w:rsidRPr="00E04855" w:rsidRDefault="00E04855" w:rsidP="00E04855">
            <w:pPr>
              <w:widowControl w:val="0"/>
              <w:spacing w:before="94" w:after="0" w:line="240" w:lineRule="auto"/>
              <w:ind w:right="-20"/>
              <w:rPr>
                <w:rFonts w:ascii="Calibri" w:eastAsia="Calibri" w:hAnsi="Calibri" w:cs="Times New Roman"/>
                <w:noProof/>
                <w:sz w:val="11"/>
                <w:szCs w:val="11"/>
                <w:lang w:val="en-AU" w:eastAsia="en-AU"/>
              </w:rPr>
            </w:pPr>
            <w:r w:rsidRPr="00E04855">
              <w:rPr>
                <w:rFonts w:ascii="Wingdings" w:eastAsia="Wingdings" w:hAnsi="Wingdings" w:cs="Wingdings"/>
                <w:lang w:val="en-AU"/>
              </w:rPr>
              <w:t></w:t>
            </w:r>
            <w:r w:rsidRPr="00E04855">
              <w:rPr>
                <w:rFonts w:ascii="Wingdings" w:eastAsia="Wingdings" w:hAnsi="Wingdings" w:cs="Wingdings"/>
                <w:lang w:val="en-AU"/>
              </w:rPr>
              <w:t></w:t>
            </w:r>
            <w:r w:rsidRPr="00E04855">
              <w:rPr>
                <w:rFonts w:ascii="Calibri" w:eastAsia="Calibri" w:hAnsi="Calibri" w:cs="Calibri"/>
                <w:bCs/>
                <w:spacing w:val="1"/>
                <w:position w:val="1"/>
                <w:lang w:val="en-AU"/>
              </w:rPr>
              <w:t>Prefer not to state</w:t>
            </w:r>
          </w:p>
        </w:tc>
      </w:tr>
    </w:tbl>
    <w:p w14:paraId="02BE5140" w14:textId="77777777" w:rsidR="00E04855" w:rsidRPr="00E04855" w:rsidRDefault="00E04855" w:rsidP="00E04855">
      <w:pPr>
        <w:pStyle w:val="StaffH1"/>
        <w:spacing w:line="240" w:lineRule="auto"/>
        <w:rPr>
          <w:rFonts w:asciiTheme="minorHAnsi" w:hAnsiTheme="minorHAnsi" w:cstheme="minorHAnsi"/>
          <w:color w:val="auto"/>
          <w:sz w:val="10"/>
          <w:szCs w:val="10"/>
        </w:rPr>
      </w:pPr>
    </w:p>
    <w:p w14:paraId="5A3FAA16" w14:textId="77777777"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0C36EED2" w14:textId="77777777" w:rsidR="00A83487" w:rsidRDefault="00A83487" w:rsidP="009D66F5">
      <w:pPr>
        <w:pStyle w:val="StaffH1"/>
        <w:rPr>
          <w:rFonts w:asciiTheme="minorHAnsi" w:hAnsiTheme="minorHAnsi" w:cstheme="minorHAnsi"/>
          <w:b w:val="0"/>
          <w:i/>
          <w:color w:val="auto"/>
          <w:sz w:val="20"/>
          <w:szCs w:val="20"/>
        </w:rPr>
      </w:pPr>
    </w:p>
    <w:p w14:paraId="75C0303B" w14:textId="77777777" w:rsidR="00FF0662" w:rsidRDefault="00553171" w:rsidP="00FF0662">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3D9D02D4" w14:textId="50A315E3" w:rsidR="00553171" w:rsidRPr="00FF0662" w:rsidRDefault="0075352C" w:rsidP="00FF0662">
      <w:pPr>
        <w:pStyle w:val="StaffH1"/>
        <w:numPr>
          <w:ilvl w:val="0"/>
          <w:numId w:val="10"/>
        </w:numPr>
        <w:rPr>
          <w:rFonts w:asciiTheme="minorHAnsi" w:hAnsiTheme="minorHAnsi" w:cstheme="minorHAnsi"/>
          <w:i/>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4B82417A" w14:textId="77777777"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w:t>
      </w:r>
      <w:proofErr w:type="gramStart"/>
      <w:r w:rsidR="00553171" w:rsidRPr="00567FA9">
        <w:rPr>
          <w:rFonts w:asciiTheme="minorHAnsi" w:hAnsiTheme="minorHAnsi" w:cstheme="minorHAnsi"/>
          <w:b w:val="0"/>
          <w:i/>
          <w:color w:val="808080" w:themeColor="background1" w:themeShade="80"/>
          <w:sz w:val="22"/>
        </w:rPr>
        <w:t>you’re</w:t>
      </w:r>
      <w:proofErr w:type="gramEnd"/>
      <w:r w:rsidR="00553171" w:rsidRPr="00567FA9">
        <w:rPr>
          <w:rFonts w:asciiTheme="minorHAnsi" w:hAnsiTheme="minorHAnsi" w:cstheme="minorHAnsi"/>
          <w:b w:val="0"/>
          <w:i/>
          <w:color w:val="808080" w:themeColor="background1" w:themeShade="80"/>
          <w:sz w:val="22"/>
        </w:rPr>
        <w:t xml:space="preserve"> expressing interest in. Give an indication of how long each position was for, and any relevant highlights. </w:t>
      </w:r>
    </w:p>
    <w:p w14:paraId="34587B5D" w14:textId="21ACD257" w:rsidR="00553171" w:rsidRDefault="00553171" w:rsidP="00553171">
      <w:pPr>
        <w:pStyle w:val="StaffH1"/>
        <w:rPr>
          <w:rFonts w:asciiTheme="minorHAnsi" w:hAnsiTheme="minorHAnsi" w:cstheme="minorHAnsi"/>
          <w:sz w:val="20"/>
          <w:szCs w:val="20"/>
        </w:rPr>
      </w:pPr>
    </w:p>
    <w:p w14:paraId="7E0E1C22" w14:textId="77777777" w:rsidR="006D34F7" w:rsidRDefault="006D34F7" w:rsidP="00553171">
      <w:pPr>
        <w:pStyle w:val="StaffH1"/>
        <w:rPr>
          <w:rFonts w:asciiTheme="minorHAnsi" w:hAnsiTheme="minorHAnsi" w:cstheme="minorHAnsi"/>
          <w:sz w:val="20"/>
          <w:szCs w:val="20"/>
        </w:rPr>
      </w:pPr>
    </w:p>
    <w:p w14:paraId="4A724C5D" w14:textId="77777777" w:rsidR="00AF4875" w:rsidRPr="00567FA9" w:rsidRDefault="00AF4875" w:rsidP="00553171">
      <w:pPr>
        <w:pStyle w:val="StaffH1"/>
        <w:rPr>
          <w:rFonts w:asciiTheme="minorHAnsi" w:hAnsiTheme="minorHAnsi" w:cstheme="minorHAnsi"/>
          <w:sz w:val="22"/>
        </w:rPr>
      </w:pPr>
    </w:p>
    <w:p w14:paraId="0E4B0220" w14:textId="0ACA8A26" w:rsidR="006D34F7" w:rsidRPr="006D34F7" w:rsidRDefault="00AF4875" w:rsidP="006D34F7">
      <w:pPr>
        <w:pStyle w:val="TableParagraph"/>
        <w:numPr>
          <w:ilvl w:val="0"/>
          <w:numId w:val="10"/>
        </w:numPr>
        <w:rPr>
          <w:rFonts w:asciiTheme="minorHAnsi" w:hAnsiTheme="minorHAnsi" w:cstheme="minorHAnsi"/>
          <w:b/>
          <w:i/>
          <w:color w:val="808080" w:themeColor="background1" w:themeShade="80"/>
        </w:rPr>
      </w:pPr>
      <w:r w:rsidRPr="00AF4875">
        <w:rPr>
          <w:b/>
        </w:rPr>
        <w:t>Please describe any connections you have to your community (</w:t>
      </w:r>
      <w:proofErr w:type="gramStart"/>
      <w:r w:rsidRPr="00AF4875">
        <w:rPr>
          <w:b/>
        </w:rPr>
        <w:t>e.g.</w:t>
      </w:r>
      <w:proofErr w:type="gramEnd"/>
      <w:r w:rsidRPr="00AF4875">
        <w:rPr>
          <w:b/>
        </w:rPr>
        <w:t xml:space="preserve"> networks, groups)</w:t>
      </w:r>
      <w:r w:rsidRPr="00567FA9">
        <w:rPr>
          <w:rFonts w:asciiTheme="minorHAnsi" w:hAnsiTheme="minorHAnsi" w:cstheme="minorHAnsi"/>
          <w:b/>
          <w:i/>
          <w:color w:val="808080" w:themeColor="background1" w:themeShade="80"/>
        </w:rPr>
        <w:t xml:space="preserve"> </w:t>
      </w:r>
      <w:r w:rsidR="008012D5" w:rsidRPr="00480614">
        <w:rPr>
          <w:rFonts w:asciiTheme="minorHAnsi" w:hAnsiTheme="minorHAnsi" w:cstheme="minorHAnsi"/>
          <w:i/>
          <w:color w:val="808080" w:themeColor="background1" w:themeShade="80"/>
        </w:rPr>
        <w:t xml:space="preserve">Tip: Think about how this relates to the role you’re applying for. </w:t>
      </w:r>
    </w:p>
    <w:p w14:paraId="1722809D" w14:textId="77777777" w:rsidR="006D34F7" w:rsidRPr="006D34F7" w:rsidRDefault="006D34F7" w:rsidP="006D34F7">
      <w:pPr>
        <w:pStyle w:val="TableParagraph"/>
        <w:rPr>
          <w:rFonts w:asciiTheme="minorHAnsi" w:hAnsiTheme="minorHAnsi" w:cstheme="minorHAnsi"/>
          <w:b/>
          <w:i/>
          <w:color w:val="808080" w:themeColor="background1" w:themeShade="80"/>
        </w:rPr>
      </w:pPr>
    </w:p>
    <w:p w14:paraId="767453BA" w14:textId="7E5A3DF5" w:rsidR="006D34F7" w:rsidRDefault="006D34F7" w:rsidP="006D34F7">
      <w:pPr>
        <w:pStyle w:val="TableParagraph"/>
        <w:rPr>
          <w:rFonts w:asciiTheme="minorHAnsi" w:hAnsiTheme="minorHAnsi" w:cstheme="minorHAnsi"/>
          <w:b/>
          <w:i/>
          <w:color w:val="808080" w:themeColor="background1" w:themeShade="80"/>
        </w:rPr>
      </w:pPr>
    </w:p>
    <w:p w14:paraId="6707D8B6" w14:textId="3311AFEF" w:rsidR="006D34F7" w:rsidRDefault="006D34F7" w:rsidP="006D34F7">
      <w:pPr>
        <w:pStyle w:val="TableParagraph"/>
        <w:rPr>
          <w:rFonts w:asciiTheme="minorHAnsi" w:hAnsiTheme="minorHAnsi" w:cstheme="minorHAnsi"/>
          <w:b/>
          <w:i/>
          <w:color w:val="808080" w:themeColor="background1" w:themeShade="80"/>
        </w:rPr>
      </w:pPr>
    </w:p>
    <w:p w14:paraId="48973A4B" w14:textId="77777777" w:rsidR="006D34F7" w:rsidRPr="006D34F7" w:rsidRDefault="006D34F7" w:rsidP="006D34F7">
      <w:pPr>
        <w:pStyle w:val="TableParagraph"/>
        <w:rPr>
          <w:rFonts w:asciiTheme="minorHAnsi" w:hAnsiTheme="minorHAnsi" w:cstheme="minorHAnsi"/>
          <w:b/>
          <w:i/>
          <w:color w:val="808080" w:themeColor="background1" w:themeShade="80"/>
        </w:rPr>
      </w:pPr>
    </w:p>
    <w:p w14:paraId="150495B3" w14:textId="6E9D349A" w:rsidR="008012D5" w:rsidRPr="006D34F7" w:rsidRDefault="00E82D04" w:rsidP="006D34F7">
      <w:pPr>
        <w:pStyle w:val="TableParagraph"/>
        <w:numPr>
          <w:ilvl w:val="0"/>
          <w:numId w:val="10"/>
        </w:numPr>
        <w:rPr>
          <w:rFonts w:asciiTheme="minorHAnsi" w:hAnsiTheme="minorHAnsi" w:cstheme="minorHAnsi"/>
          <w:b/>
          <w:i/>
          <w:color w:val="808080" w:themeColor="background1" w:themeShade="80"/>
        </w:rPr>
      </w:pPr>
      <w:r w:rsidRPr="006D34F7">
        <w:rPr>
          <w:rFonts w:asciiTheme="minorHAnsi" w:hAnsiTheme="minorHAnsi" w:cstheme="minorHAnsi"/>
          <w:b/>
          <w:bCs/>
        </w:rPr>
        <w:t>Please describe your interest in t</w:t>
      </w:r>
      <w:r w:rsidR="00E93814" w:rsidRPr="006D34F7">
        <w:rPr>
          <w:rFonts w:asciiTheme="minorHAnsi" w:hAnsiTheme="minorHAnsi" w:cstheme="minorHAnsi"/>
          <w:b/>
          <w:bCs/>
        </w:rPr>
        <w:t xml:space="preserve">rauma </w:t>
      </w:r>
      <w:proofErr w:type="gramStart"/>
      <w:r w:rsidR="00E93814" w:rsidRPr="006D34F7">
        <w:rPr>
          <w:rFonts w:asciiTheme="minorHAnsi" w:hAnsiTheme="minorHAnsi" w:cstheme="minorHAnsi"/>
          <w:b/>
          <w:bCs/>
        </w:rPr>
        <w:t>care</w:t>
      </w:r>
      <w:r w:rsidR="00480614" w:rsidRPr="006D34F7">
        <w:rPr>
          <w:rFonts w:asciiTheme="minorHAnsi" w:hAnsiTheme="minorHAnsi" w:cstheme="minorHAnsi"/>
          <w:b/>
          <w:bCs/>
        </w:rPr>
        <w:t>?</w:t>
      </w:r>
      <w:proofErr w:type="gramEnd"/>
      <w:r w:rsidR="008D4892" w:rsidRPr="006D34F7">
        <w:rPr>
          <w:rFonts w:asciiTheme="minorHAnsi" w:hAnsiTheme="minorHAnsi" w:cstheme="minorHAnsi"/>
          <w:b/>
          <w:bCs/>
        </w:rPr>
        <w:t xml:space="preserve"> If you have accessed or cared for someone who has accessed trauma care, please tell </w:t>
      </w:r>
      <w:r w:rsidR="00D451DC" w:rsidRPr="006D34F7">
        <w:rPr>
          <w:rFonts w:asciiTheme="minorHAnsi" w:hAnsiTheme="minorHAnsi" w:cstheme="minorHAnsi"/>
          <w:b/>
          <w:bCs/>
        </w:rPr>
        <w:t>us what would improve this care for health consumers and carers?</w:t>
      </w:r>
      <w:r w:rsidR="00480614" w:rsidRPr="006D34F7">
        <w:rPr>
          <w:rFonts w:asciiTheme="minorHAnsi" w:hAnsiTheme="minorHAnsi" w:cstheme="minorHAnsi"/>
        </w:rPr>
        <w:t xml:space="preserve"> </w:t>
      </w:r>
      <w:r w:rsidR="008012D5" w:rsidRPr="006D34F7">
        <w:rPr>
          <w:rFonts w:asciiTheme="minorHAnsi" w:hAnsiTheme="minorHAnsi" w:cstheme="minorHAnsi"/>
          <w:i/>
          <w:color w:val="808080" w:themeColor="background1" w:themeShade="80"/>
        </w:rPr>
        <w:t>Tip: Although this section usually requires the longest response, try to keep it concise. Things to consider focusing on here include:</w:t>
      </w:r>
      <w:r w:rsidR="00703267" w:rsidRPr="006D34F7">
        <w:rPr>
          <w:rFonts w:asciiTheme="minorHAnsi" w:hAnsiTheme="minorHAnsi" w:cstheme="minorHAnsi"/>
        </w:rPr>
        <w:t xml:space="preserve"> </w:t>
      </w:r>
      <w:r w:rsidR="008012D5" w:rsidRPr="006D34F7">
        <w:rPr>
          <w:rFonts w:asciiTheme="minorHAnsi" w:hAnsiTheme="minorHAnsi" w:cstheme="minorHAnsi"/>
          <w:i/>
          <w:color w:val="808080" w:themeColor="background1" w:themeShade="80"/>
        </w:rPr>
        <w:t>any past lived experience that shows your understanding of the topic, or</w:t>
      </w:r>
      <w:r w:rsidR="00703267" w:rsidRPr="006D34F7">
        <w:rPr>
          <w:rFonts w:asciiTheme="minorHAnsi" w:hAnsiTheme="minorHAnsi" w:cstheme="minorHAnsi"/>
        </w:rPr>
        <w:t xml:space="preserve"> </w:t>
      </w:r>
      <w:r w:rsidR="008012D5" w:rsidRPr="006D34F7">
        <w:rPr>
          <w:rFonts w:asciiTheme="minorHAnsi" w:hAnsiTheme="minorHAnsi" w:cstheme="minorHAnsi"/>
          <w:i/>
          <w:color w:val="808080" w:themeColor="background1" w:themeShade="80"/>
        </w:rPr>
        <w:t>your understanding of the social/health/economic implications of the topic/condition, or</w:t>
      </w:r>
      <w:r w:rsidR="00703267" w:rsidRPr="006D34F7">
        <w:rPr>
          <w:rFonts w:asciiTheme="minorHAnsi" w:hAnsiTheme="minorHAnsi" w:cstheme="minorHAnsi"/>
        </w:rPr>
        <w:t xml:space="preserve"> </w:t>
      </w:r>
      <w:r w:rsidR="008012D5" w:rsidRPr="006D34F7">
        <w:rPr>
          <w:rFonts w:asciiTheme="minorHAnsi" w:hAnsiTheme="minorHAnsi" w:cstheme="minorHAnsi"/>
          <w:i/>
          <w:color w:val="808080" w:themeColor="background1" w:themeShade="80"/>
        </w:rPr>
        <w:t xml:space="preserve">Any systems change that you have identified that will improve care for health consumers, and possible strategies you could share to affect that change.  </w:t>
      </w:r>
    </w:p>
    <w:p w14:paraId="6BEFB5BD"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661BF8F6" w14:textId="04BDC947" w:rsidR="00FD0A44" w:rsidRDefault="00FD0A44" w:rsidP="00FD0A44">
      <w:pPr>
        <w:pStyle w:val="StaffH1"/>
        <w:rPr>
          <w:rFonts w:asciiTheme="minorHAnsi" w:hAnsiTheme="minorHAnsi" w:cstheme="minorHAnsi"/>
          <w:b w:val="0"/>
          <w:i/>
          <w:color w:val="808080" w:themeColor="background1" w:themeShade="80"/>
          <w:sz w:val="22"/>
        </w:rPr>
      </w:pPr>
    </w:p>
    <w:p w14:paraId="7FDF66C1" w14:textId="387602A2" w:rsidR="00FF0662" w:rsidRDefault="00FF0662" w:rsidP="00FD0A44">
      <w:pPr>
        <w:pStyle w:val="StaffH1"/>
        <w:rPr>
          <w:rFonts w:asciiTheme="minorHAnsi" w:hAnsiTheme="minorHAnsi" w:cstheme="minorHAnsi"/>
          <w:b w:val="0"/>
          <w:i/>
          <w:color w:val="808080" w:themeColor="background1" w:themeShade="80"/>
          <w:sz w:val="22"/>
        </w:rPr>
      </w:pPr>
    </w:p>
    <w:p w14:paraId="224FD8E5" w14:textId="6C408D13" w:rsidR="00FF0662" w:rsidRDefault="00FF0662" w:rsidP="00FD0A44">
      <w:pPr>
        <w:pStyle w:val="StaffH1"/>
        <w:rPr>
          <w:rFonts w:asciiTheme="minorHAnsi" w:hAnsiTheme="minorHAnsi" w:cstheme="minorHAnsi"/>
          <w:b w:val="0"/>
          <w:i/>
          <w:color w:val="808080" w:themeColor="background1" w:themeShade="80"/>
          <w:sz w:val="22"/>
        </w:rPr>
      </w:pPr>
    </w:p>
    <w:p w14:paraId="03710179" w14:textId="5AEA9D16" w:rsidR="00FF0662" w:rsidRDefault="00FF0662" w:rsidP="00FD0A44">
      <w:pPr>
        <w:pStyle w:val="StaffH1"/>
        <w:rPr>
          <w:rFonts w:asciiTheme="minorHAnsi" w:hAnsiTheme="minorHAnsi" w:cstheme="minorHAnsi"/>
          <w:b w:val="0"/>
          <w:i/>
          <w:color w:val="808080" w:themeColor="background1" w:themeShade="80"/>
          <w:sz w:val="22"/>
        </w:rPr>
      </w:pPr>
    </w:p>
    <w:p w14:paraId="75994EBF" w14:textId="77777777" w:rsidR="003D71A3" w:rsidRPr="00567FA9" w:rsidRDefault="003D71A3" w:rsidP="00FD0A44">
      <w:pPr>
        <w:pStyle w:val="StaffH1"/>
        <w:rPr>
          <w:rFonts w:asciiTheme="minorHAnsi" w:hAnsiTheme="minorHAnsi" w:cstheme="minorHAnsi"/>
          <w:b w:val="0"/>
          <w:i/>
          <w:color w:val="808080" w:themeColor="background1" w:themeShade="80"/>
          <w:sz w:val="22"/>
        </w:rPr>
      </w:pPr>
    </w:p>
    <w:p w14:paraId="5A2AE562" w14:textId="6CE46916" w:rsidR="00FD0A44" w:rsidRPr="00B83F53" w:rsidRDefault="002D04F0" w:rsidP="00FD0A44">
      <w:pPr>
        <w:pStyle w:val="StaffH1"/>
        <w:rPr>
          <w:rFonts w:asciiTheme="minorHAnsi" w:hAnsiTheme="minorHAnsi" w:cstheme="minorHAnsi"/>
          <w:bCs/>
          <w:i/>
          <w:color w:val="auto"/>
          <w:sz w:val="22"/>
        </w:rPr>
      </w:pPr>
      <w:r w:rsidRPr="00B83F53">
        <w:rPr>
          <w:rFonts w:asciiTheme="minorHAnsi" w:hAnsiTheme="minorHAnsi" w:cstheme="minorHAnsi"/>
          <w:bCs/>
          <w:i/>
          <w:color w:val="auto"/>
          <w:sz w:val="22"/>
        </w:rPr>
        <w:lastRenderedPageBreak/>
        <w:t xml:space="preserve">Referee Section </w:t>
      </w:r>
    </w:p>
    <w:p w14:paraId="3AAECFA5" w14:textId="77777777" w:rsidR="00FD0A44" w:rsidRPr="00567FA9" w:rsidRDefault="00FD0A44" w:rsidP="00FD0A44">
      <w:pPr>
        <w:pStyle w:val="StaffH1"/>
        <w:numPr>
          <w:ilvl w:val="0"/>
          <w:numId w:val="6"/>
        </w:numPr>
        <w:rPr>
          <w:rFonts w:asciiTheme="minorHAnsi" w:hAnsiTheme="minorHAnsi" w:cstheme="minorHAnsi"/>
          <w:color w:val="auto"/>
          <w:sz w:val="22"/>
        </w:rPr>
      </w:pPr>
      <w:r w:rsidRPr="00567FA9">
        <w:rPr>
          <w:rFonts w:asciiTheme="minorHAnsi" w:hAnsiTheme="minorHAnsi" w:cstheme="minorHAnsi"/>
          <w:color w:val="auto"/>
          <w:sz w:val="22"/>
        </w:rPr>
        <w:t>Please provide contact details for a staff member from a health service or department you are currently partnering with. (we will advise if you are shortlisted before we contact your referee).</w:t>
      </w:r>
    </w:p>
    <w:p w14:paraId="5F60CE1F" w14:textId="77777777" w:rsidR="00B01FEF" w:rsidRDefault="00B01FEF" w:rsidP="00FD0A44">
      <w:pPr>
        <w:pStyle w:val="StaffH1"/>
        <w:rPr>
          <w:rFonts w:asciiTheme="minorHAnsi" w:hAnsiTheme="minorHAnsi" w:cstheme="minorHAnsi"/>
          <w:b w:val="0"/>
          <w:color w:val="auto"/>
          <w:sz w:val="22"/>
        </w:rPr>
      </w:pPr>
    </w:p>
    <w:p w14:paraId="1FD06BA8"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Full name:</w:t>
      </w:r>
      <w:r w:rsidRPr="00567FA9">
        <w:rPr>
          <w:rFonts w:asciiTheme="minorHAnsi" w:hAnsiTheme="minorHAnsi" w:cstheme="minorHAnsi"/>
          <w:b w:val="0"/>
          <w:color w:val="auto"/>
          <w:sz w:val="22"/>
        </w:rPr>
        <w:tab/>
      </w:r>
    </w:p>
    <w:p w14:paraId="19BED131"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 xml:space="preserve">Staff Role: </w:t>
      </w:r>
    </w:p>
    <w:p w14:paraId="486C1161"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Partnering Activity (</w:t>
      </w:r>
      <w:proofErr w:type="spellStart"/>
      <w:r w:rsidRPr="00567FA9">
        <w:rPr>
          <w:rFonts w:asciiTheme="minorHAnsi" w:hAnsiTheme="minorHAnsi" w:cstheme="minorHAnsi"/>
          <w:b w:val="0"/>
          <w:color w:val="auto"/>
          <w:sz w:val="22"/>
        </w:rPr>
        <w:t>eg.</w:t>
      </w:r>
      <w:proofErr w:type="spellEnd"/>
      <w:r w:rsidRPr="00567FA9">
        <w:rPr>
          <w:rFonts w:asciiTheme="minorHAnsi" w:hAnsiTheme="minorHAnsi" w:cstheme="minorHAnsi"/>
          <w:b w:val="0"/>
          <w:color w:val="auto"/>
          <w:sz w:val="22"/>
        </w:rPr>
        <w:t xml:space="preserve"> Committee Chair):</w:t>
      </w:r>
    </w:p>
    <w:p w14:paraId="74E38223"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Organisation:</w:t>
      </w:r>
    </w:p>
    <w:p w14:paraId="570478FE"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Phone number:</w:t>
      </w:r>
      <w:r w:rsidRPr="00567FA9">
        <w:rPr>
          <w:rFonts w:asciiTheme="minorHAnsi" w:hAnsiTheme="minorHAnsi" w:cstheme="minorHAnsi"/>
          <w:b w:val="0"/>
          <w:color w:val="auto"/>
          <w:sz w:val="22"/>
        </w:rPr>
        <w:tab/>
      </w:r>
    </w:p>
    <w:p w14:paraId="61A280E9" w14:textId="77777777" w:rsidR="00FD0A44" w:rsidRPr="00567FA9" w:rsidRDefault="00FD0A44" w:rsidP="00FD0A44">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Email:</w:t>
      </w:r>
    </w:p>
    <w:p w14:paraId="32386647" w14:textId="77777777" w:rsidR="008012D5" w:rsidRPr="000504A0" w:rsidRDefault="00FD0A44" w:rsidP="00553171">
      <w:pPr>
        <w:pStyle w:val="StaffH1"/>
        <w:rPr>
          <w:rFonts w:asciiTheme="minorHAnsi" w:hAnsiTheme="minorHAnsi" w:cstheme="minorHAnsi"/>
          <w:b w:val="0"/>
          <w:color w:val="auto"/>
          <w:sz w:val="22"/>
        </w:rPr>
      </w:pPr>
      <w:r w:rsidRPr="00567FA9">
        <w:rPr>
          <w:rFonts w:asciiTheme="minorHAnsi" w:hAnsiTheme="minorHAnsi" w:cstheme="minorHAnsi"/>
          <w:b w:val="0"/>
          <w:color w:val="auto"/>
          <w:sz w:val="22"/>
        </w:rPr>
        <w:t>Applicant Role:</w:t>
      </w:r>
    </w:p>
    <w:sectPr w:rsidR="008012D5" w:rsidRPr="000504A0"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3ED8E" w14:textId="77777777" w:rsidR="002748A7" w:rsidRDefault="002748A7" w:rsidP="007B1118">
      <w:pPr>
        <w:spacing w:after="0" w:line="240" w:lineRule="auto"/>
      </w:pPr>
      <w:r>
        <w:separator/>
      </w:r>
    </w:p>
  </w:endnote>
  <w:endnote w:type="continuationSeparator" w:id="0">
    <w:p w14:paraId="5F4915FA" w14:textId="77777777" w:rsidR="002748A7" w:rsidRDefault="002748A7" w:rsidP="007B1118">
      <w:pPr>
        <w:spacing w:after="0" w:line="240" w:lineRule="auto"/>
      </w:pPr>
      <w:r>
        <w:continuationSeparator/>
      </w:r>
    </w:p>
  </w:endnote>
  <w:endnote w:type="continuationNotice" w:id="1">
    <w:p w14:paraId="5E26FD55" w14:textId="77777777" w:rsidR="00195644" w:rsidRDefault="00195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303352"/>
      <w:docPartObj>
        <w:docPartGallery w:val="Page Numbers (Bottom of Page)"/>
        <w:docPartUnique/>
      </w:docPartObj>
    </w:sdtPr>
    <w:sdtEndPr>
      <w:rPr>
        <w:noProof/>
      </w:rPr>
    </w:sdtEndPr>
    <w:sdtContent>
      <w:p w14:paraId="0CF87E54" w14:textId="77777777" w:rsidR="007B1118" w:rsidRDefault="007B1118">
        <w:pPr>
          <w:pStyle w:val="Footer"/>
        </w:pPr>
        <w:r>
          <w:fldChar w:fldCharType="begin"/>
        </w:r>
        <w:r>
          <w:instrText xml:space="preserve"> PAGE   \* MERGEFORMAT </w:instrText>
        </w:r>
        <w:r>
          <w:fldChar w:fldCharType="separate"/>
        </w:r>
        <w:r w:rsidR="00480614">
          <w:rPr>
            <w:noProof/>
          </w:rPr>
          <w:t>1</w:t>
        </w:r>
        <w:r>
          <w:rPr>
            <w:noProof/>
          </w:rPr>
          <w:fldChar w:fldCharType="end"/>
        </w:r>
      </w:p>
    </w:sdtContent>
  </w:sdt>
  <w:p w14:paraId="3413049A"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482F4" w14:textId="77777777" w:rsidR="002748A7" w:rsidRDefault="002748A7" w:rsidP="007B1118">
      <w:pPr>
        <w:spacing w:after="0" w:line="240" w:lineRule="auto"/>
      </w:pPr>
      <w:r>
        <w:separator/>
      </w:r>
    </w:p>
  </w:footnote>
  <w:footnote w:type="continuationSeparator" w:id="0">
    <w:p w14:paraId="540F86D5" w14:textId="77777777" w:rsidR="002748A7" w:rsidRDefault="002748A7" w:rsidP="007B1118">
      <w:pPr>
        <w:spacing w:after="0" w:line="240" w:lineRule="auto"/>
      </w:pPr>
      <w:r>
        <w:continuationSeparator/>
      </w:r>
    </w:p>
  </w:footnote>
  <w:footnote w:type="continuationNotice" w:id="1">
    <w:p w14:paraId="6FCBF3D9" w14:textId="77777777" w:rsidR="00195644" w:rsidRDefault="00195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5A0C95EC" w14:textId="77777777" w:rsidTr="007B1118">
      <w:trPr>
        <w:trHeight w:val="20"/>
      </w:trPr>
      <w:tc>
        <w:tcPr>
          <w:tcW w:w="12191" w:type="dxa"/>
          <w:gridSpan w:val="5"/>
          <w:tcBorders>
            <w:top w:val="single" w:sz="4" w:space="0" w:color="FFFFFF"/>
            <w:bottom w:val="nil"/>
            <w:right w:val="nil"/>
          </w:tcBorders>
          <w:shd w:val="clear" w:color="auto" w:fill="650030"/>
        </w:tcPr>
        <w:p w14:paraId="0047B58D"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E0AEF5E" w14:textId="77777777" w:rsidTr="007B1118">
      <w:trPr>
        <w:trHeight w:val="136"/>
      </w:trPr>
      <w:tc>
        <w:tcPr>
          <w:tcW w:w="1981" w:type="dxa"/>
          <w:tcBorders>
            <w:top w:val="nil"/>
            <w:bottom w:val="nil"/>
          </w:tcBorders>
          <w:shd w:val="clear" w:color="auto" w:fill="009297"/>
        </w:tcPr>
        <w:p w14:paraId="2FE06550"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4E9B8979"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FF5D7E0"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55677BF3"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7F25C10B"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048DDE0A"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518BE6E5"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666BCBBD"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A4B81"/>
    <w:multiLevelType w:val="hybridMultilevel"/>
    <w:tmpl w:val="90881F8C"/>
    <w:lvl w:ilvl="0" w:tplc="08090001">
      <w:start w:val="1"/>
      <w:numFmt w:val="bullet"/>
      <w:lvlText w:val=""/>
      <w:lvlJc w:val="left"/>
      <w:pPr>
        <w:ind w:left="720" w:hanging="360"/>
      </w:pPr>
      <w:rPr>
        <w:rFonts w:ascii="Symbol" w:hAnsi="Symbol" w:hint="default"/>
      </w:rPr>
    </w:lvl>
    <w:lvl w:ilvl="1" w:tplc="D6447DF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50F5"/>
    <w:multiLevelType w:val="hybridMultilevel"/>
    <w:tmpl w:val="61C40F38"/>
    <w:lvl w:ilvl="0" w:tplc="271A85D8">
      <w:start w:val="1"/>
      <w:numFmt w:val="decimal"/>
      <w:lvlText w:val="%1."/>
      <w:lvlJc w:val="left"/>
      <w:pPr>
        <w:ind w:left="720" w:hanging="360"/>
      </w:pPr>
      <w:rPr>
        <w:rFonts w:hint="default"/>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D96AC6"/>
    <w:multiLevelType w:val="hybridMultilevel"/>
    <w:tmpl w:val="05FAAA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5"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D27BA1"/>
    <w:multiLevelType w:val="hybridMultilevel"/>
    <w:tmpl w:val="488ED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9"/>
  </w:num>
  <w:num w:numId="6">
    <w:abstractNumId w:val="6"/>
  </w:num>
  <w:num w:numId="7">
    <w:abstractNumId w:val="3"/>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504A0"/>
    <w:rsid w:val="00067FDB"/>
    <w:rsid w:val="000909E0"/>
    <w:rsid w:val="000A1C45"/>
    <w:rsid w:val="000A6D5A"/>
    <w:rsid w:val="0011708E"/>
    <w:rsid w:val="00144B44"/>
    <w:rsid w:val="001927FE"/>
    <w:rsid w:val="001928FC"/>
    <w:rsid w:val="00195644"/>
    <w:rsid w:val="001A491C"/>
    <w:rsid w:val="001E4B63"/>
    <w:rsid w:val="002748A7"/>
    <w:rsid w:val="00292D9D"/>
    <w:rsid w:val="002B0ACA"/>
    <w:rsid w:val="002D04F0"/>
    <w:rsid w:val="00341D41"/>
    <w:rsid w:val="00342C95"/>
    <w:rsid w:val="003D71A3"/>
    <w:rsid w:val="003F4436"/>
    <w:rsid w:val="00416F72"/>
    <w:rsid w:val="00441807"/>
    <w:rsid w:val="00470534"/>
    <w:rsid w:val="00475D15"/>
    <w:rsid w:val="00480614"/>
    <w:rsid w:val="00493227"/>
    <w:rsid w:val="004B2C94"/>
    <w:rsid w:val="004B3875"/>
    <w:rsid w:val="004F0684"/>
    <w:rsid w:val="004F2068"/>
    <w:rsid w:val="00500D19"/>
    <w:rsid w:val="0050205D"/>
    <w:rsid w:val="00525CBB"/>
    <w:rsid w:val="00537C4D"/>
    <w:rsid w:val="00546A06"/>
    <w:rsid w:val="00553171"/>
    <w:rsid w:val="00560743"/>
    <w:rsid w:val="00567FA9"/>
    <w:rsid w:val="005A08BE"/>
    <w:rsid w:val="005B42FD"/>
    <w:rsid w:val="005C728F"/>
    <w:rsid w:val="005D726A"/>
    <w:rsid w:val="0060722B"/>
    <w:rsid w:val="006400F3"/>
    <w:rsid w:val="00693C39"/>
    <w:rsid w:val="006D34F7"/>
    <w:rsid w:val="006D6BB3"/>
    <w:rsid w:val="00703267"/>
    <w:rsid w:val="007043C0"/>
    <w:rsid w:val="00715183"/>
    <w:rsid w:val="00733F70"/>
    <w:rsid w:val="0075352C"/>
    <w:rsid w:val="00767F23"/>
    <w:rsid w:val="007754A7"/>
    <w:rsid w:val="007A67B5"/>
    <w:rsid w:val="007B1118"/>
    <w:rsid w:val="007B7AC0"/>
    <w:rsid w:val="007D2480"/>
    <w:rsid w:val="007E2D3C"/>
    <w:rsid w:val="008012D5"/>
    <w:rsid w:val="00801467"/>
    <w:rsid w:val="0087092F"/>
    <w:rsid w:val="008A7949"/>
    <w:rsid w:val="008C3230"/>
    <w:rsid w:val="008D4892"/>
    <w:rsid w:val="009435DB"/>
    <w:rsid w:val="00947678"/>
    <w:rsid w:val="00950998"/>
    <w:rsid w:val="0095157C"/>
    <w:rsid w:val="00953EBE"/>
    <w:rsid w:val="00996C71"/>
    <w:rsid w:val="009C1817"/>
    <w:rsid w:val="009D49D2"/>
    <w:rsid w:val="009D66F5"/>
    <w:rsid w:val="009F35B9"/>
    <w:rsid w:val="00A06CD5"/>
    <w:rsid w:val="00A63579"/>
    <w:rsid w:val="00A81131"/>
    <w:rsid w:val="00A83487"/>
    <w:rsid w:val="00AD5F28"/>
    <w:rsid w:val="00AD7DF8"/>
    <w:rsid w:val="00AF4875"/>
    <w:rsid w:val="00B01FEF"/>
    <w:rsid w:val="00B75112"/>
    <w:rsid w:val="00B83F53"/>
    <w:rsid w:val="00B85A22"/>
    <w:rsid w:val="00BC4847"/>
    <w:rsid w:val="00BC5F8B"/>
    <w:rsid w:val="00BE64FB"/>
    <w:rsid w:val="00C532E7"/>
    <w:rsid w:val="00C71D82"/>
    <w:rsid w:val="00C95682"/>
    <w:rsid w:val="00CF307C"/>
    <w:rsid w:val="00D139C6"/>
    <w:rsid w:val="00D451DC"/>
    <w:rsid w:val="00D6294E"/>
    <w:rsid w:val="00D66045"/>
    <w:rsid w:val="00D7234D"/>
    <w:rsid w:val="00D7586C"/>
    <w:rsid w:val="00DB3A31"/>
    <w:rsid w:val="00DC46A0"/>
    <w:rsid w:val="00DD7FCD"/>
    <w:rsid w:val="00E04855"/>
    <w:rsid w:val="00E7659F"/>
    <w:rsid w:val="00E82D04"/>
    <w:rsid w:val="00E93814"/>
    <w:rsid w:val="00F33C39"/>
    <w:rsid w:val="00F4047C"/>
    <w:rsid w:val="00F56AC5"/>
    <w:rsid w:val="00F75AA6"/>
    <w:rsid w:val="00F77F6B"/>
    <w:rsid w:val="00F97361"/>
    <w:rsid w:val="00FC4BAE"/>
    <w:rsid w:val="00FC76B6"/>
    <w:rsid w:val="00FD0A44"/>
    <w:rsid w:val="00FD57CA"/>
    <w:rsid w:val="00FF0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5E506D"/>
  <w15:chartTrackingRefBased/>
  <w15:docId w15:val="{E163EA26-2D5D-448C-A1BC-3B140F26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character" w:styleId="UnresolvedMention">
    <w:name w:val="Unresolved Mention"/>
    <w:basedOn w:val="DefaultParagraphFont"/>
    <w:uiPriority w:val="99"/>
    <w:semiHidden/>
    <w:unhideWhenUsed/>
    <w:rsid w:val="00342C95"/>
    <w:rPr>
      <w:color w:val="605E5C"/>
      <w:shd w:val="clear" w:color="auto" w:fill="E1DFDD"/>
    </w:rPr>
  </w:style>
  <w:style w:type="paragraph" w:styleId="BalloonText">
    <w:name w:val="Balloon Text"/>
    <w:basedOn w:val="Normal"/>
    <w:link w:val="BalloonTextChar"/>
    <w:uiPriority w:val="99"/>
    <w:semiHidden/>
    <w:unhideWhenUsed/>
    <w:rsid w:val="004F0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684"/>
    <w:rPr>
      <w:rFonts w:ascii="Segoe UI" w:hAnsi="Segoe UI" w:cs="Segoe UI"/>
      <w:sz w:val="18"/>
      <w:szCs w:val="18"/>
    </w:rPr>
  </w:style>
  <w:style w:type="character" w:styleId="CommentReference">
    <w:name w:val="annotation reference"/>
    <w:basedOn w:val="DefaultParagraphFont"/>
    <w:uiPriority w:val="99"/>
    <w:semiHidden/>
    <w:unhideWhenUsed/>
    <w:rsid w:val="009D49D2"/>
    <w:rPr>
      <w:sz w:val="16"/>
      <w:szCs w:val="16"/>
    </w:rPr>
  </w:style>
  <w:style w:type="paragraph" w:styleId="CommentText">
    <w:name w:val="annotation text"/>
    <w:basedOn w:val="Normal"/>
    <w:link w:val="CommentTextChar"/>
    <w:uiPriority w:val="99"/>
    <w:semiHidden/>
    <w:unhideWhenUsed/>
    <w:rsid w:val="009D49D2"/>
    <w:pPr>
      <w:spacing w:line="240" w:lineRule="auto"/>
    </w:pPr>
    <w:rPr>
      <w:sz w:val="20"/>
      <w:szCs w:val="20"/>
    </w:rPr>
  </w:style>
  <w:style w:type="character" w:customStyle="1" w:styleId="CommentTextChar">
    <w:name w:val="Comment Text Char"/>
    <w:basedOn w:val="DefaultParagraphFont"/>
    <w:link w:val="CommentText"/>
    <w:uiPriority w:val="99"/>
    <w:semiHidden/>
    <w:rsid w:val="009D49D2"/>
    <w:rPr>
      <w:sz w:val="20"/>
      <w:szCs w:val="20"/>
    </w:rPr>
  </w:style>
  <w:style w:type="paragraph" w:styleId="CommentSubject">
    <w:name w:val="annotation subject"/>
    <w:basedOn w:val="CommentText"/>
    <w:next w:val="CommentText"/>
    <w:link w:val="CommentSubjectChar"/>
    <w:uiPriority w:val="99"/>
    <w:semiHidden/>
    <w:unhideWhenUsed/>
    <w:rsid w:val="009D49D2"/>
    <w:rPr>
      <w:b/>
      <w:bCs/>
    </w:rPr>
  </w:style>
  <w:style w:type="character" w:customStyle="1" w:styleId="CommentSubjectChar">
    <w:name w:val="Comment Subject Char"/>
    <w:basedOn w:val="CommentTextChar"/>
    <w:link w:val="CommentSubject"/>
    <w:uiPriority w:val="99"/>
    <w:semiHidden/>
    <w:rsid w:val="009D49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85085">
      <w:bodyDiv w:val="1"/>
      <w:marLeft w:val="0"/>
      <w:marRight w:val="0"/>
      <w:marTop w:val="0"/>
      <w:marBottom w:val="0"/>
      <w:divBdr>
        <w:top w:val="none" w:sz="0" w:space="0" w:color="auto"/>
        <w:left w:val="none" w:sz="0" w:space="0" w:color="auto"/>
        <w:bottom w:val="none" w:sz="0" w:space="0" w:color="auto"/>
        <w:right w:val="none" w:sz="0" w:space="0" w:color="auto"/>
      </w:divBdr>
    </w:div>
    <w:div w:id="514006290">
      <w:bodyDiv w:val="1"/>
      <w:marLeft w:val="0"/>
      <w:marRight w:val="0"/>
      <w:marTop w:val="0"/>
      <w:marBottom w:val="0"/>
      <w:divBdr>
        <w:top w:val="none" w:sz="0" w:space="0" w:color="auto"/>
        <w:left w:val="none" w:sz="0" w:space="0" w:color="auto"/>
        <w:bottom w:val="none" w:sz="0" w:space="0" w:color="auto"/>
        <w:right w:val="none" w:sz="0" w:space="0" w:color="auto"/>
      </w:divBdr>
    </w:div>
    <w:div w:id="608778751">
      <w:bodyDiv w:val="1"/>
      <w:marLeft w:val="0"/>
      <w:marRight w:val="0"/>
      <w:marTop w:val="0"/>
      <w:marBottom w:val="0"/>
      <w:divBdr>
        <w:top w:val="none" w:sz="0" w:space="0" w:color="auto"/>
        <w:left w:val="none" w:sz="0" w:space="0" w:color="auto"/>
        <w:bottom w:val="none" w:sz="0" w:space="0" w:color="auto"/>
        <w:right w:val="none" w:sz="0" w:space="0" w:color="auto"/>
      </w:divBdr>
    </w:div>
    <w:div w:id="668294579">
      <w:bodyDiv w:val="1"/>
      <w:marLeft w:val="0"/>
      <w:marRight w:val="0"/>
      <w:marTop w:val="0"/>
      <w:marBottom w:val="0"/>
      <w:divBdr>
        <w:top w:val="none" w:sz="0" w:space="0" w:color="auto"/>
        <w:left w:val="none" w:sz="0" w:space="0" w:color="auto"/>
        <w:bottom w:val="none" w:sz="0" w:space="0" w:color="auto"/>
        <w:right w:val="none" w:sz="0" w:space="0" w:color="auto"/>
      </w:divBdr>
    </w:div>
    <w:div w:id="784496469">
      <w:bodyDiv w:val="1"/>
      <w:marLeft w:val="0"/>
      <w:marRight w:val="0"/>
      <w:marTop w:val="0"/>
      <w:marBottom w:val="0"/>
      <w:divBdr>
        <w:top w:val="none" w:sz="0" w:space="0" w:color="auto"/>
        <w:left w:val="none" w:sz="0" w:space="0" w:color="auto"/>
        <w:bottom w:val="none" w:sz="0" w:space="0" w:color="auto"/>
        <w:right w:val="none" w:sz="0" w:space="0" w:color="auto"/>
      </w:divBdr>
    </w:div>
    <w:div w:id="1364865528">
      <w:bodyDiv w:val="1"/>
      <w:marLeft w:val="0"/>
      <w:marRight w:val="0"/>
      <w:marTop w:val="0"/>
      <w:marBottom w:val="0"/>
      <w:divBdr>
        <w:top w:val="none" w:sz="0" w:space="0" w:color="auto"/>
        <w:left w:val="none" w:sz="0" w:space="0" w:color="auto"/>
        <w:bottom w:val="none" w:sz="0" w:space="0" w:color="auto"/>
        <w:right w:val="none" w:sz="0" w:space="0" w:color="auto"/>
      </w:divBdr>
    </w:div>
    <w:div w:id="1460611339">
      <w:bodyDiv w:val="1"/>
      <w:marLeft w:val="0"/>
      <w:marRight w:val="0"/>
      <w:marTop w:val="0"/>
      <w:marBottom w:val="0"/>
      <w:divBdr>
        <w:top w:val="none" w:sz="0" w:space="0" w:color="auto"/>
        <w:left w:val="none" w:sz="0" w:space="0" w:color="auto"/>
        <w:bottom w:val="none" w:sz="0" w:space="0" w:color="auto"/>
        <w:right w:val="none" w:sz="0" w:space="0" w:color="auto"/>
      </w:divBdr>
    </w:div>
    <w:div w:id="1520074667">
      <w:bodyDiv w:val="1"/>
      <w:marLeft w:val="0"/>
      <w:marRight w:val="0"/>
      <w:marTop w:val="0"/>
      <w:marBottom w:val="0"/>
      <w:divBdr>
        <w:top w:val="none" w:sz="0" w:space="0" w:color="auto"/>
        <w:left w:val="none" w:sz="0" w:space="0" w:color="auto"/>
        <w:bottom w:val="none" w:sz="0" w:space="0" w:color="auto"/>
        <w:right w:val="none" w:sz="0" w:space="0" w:color="auto"/>
      </w:divBdr>
    </w:div>
    <w:div w:id="1888104808">
      <w:bodyDiv w:val="1"/>
      <w:marLeft w:val="0"/>
      <w:marRight w:val="0"/>
      <w:marTop w:val="0"/>
      <w:marBottom w:val="0"/>
      <w:divBdr>
        <w:top w:val="none" w:sz="0" w:space="0" w:color="auto"/>
        <w:left w:val="none" w:sz="0" w:space="0" w:color="auto"/>
        <w:bottom w:val="none" w:sz="0" w:space="0" w:color="auto"/>
        <w:right w:val="none" w:sz="0" w:space="0" w:color="auto"/>
      </w:divBdr>
    </w:div>
    <w:div w:id="19493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cq.org.au/wp-content/uploads/2015/12/Consumer-Remuneration-Rates-Dec-201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nicalexcellence.qld.gov.au/priority-areas/clinician-engagement/statewide-clinical-networks/traum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nicalexcellence.qld.gov.au/priority-areas/clinician-engagement/statewide-clinical-networks" TargetMode="External"/><Relationship Id="rId5" Type="http://schemas.openxmlformats.org/officeDocument/2006/relationships/numbering" Target="numbering.xml"/><Relationship Id="rId15" Type="http://schemas.openxmlformats.org/officeDocument/2006/relationships/hyperlink" Target="mailto:consumer@hcq.org.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umer@hcq.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F0E37-B947-4FEB-80E8-0CF8514BB25C}">
  <ds:schemaRefs>
    <ds:schemaRef ds:uri="http://schemas.microsoft.com/sharepoint/v3/contenttype/forms"/>
  </ds:schemaRefs>
</ds:datastoreItem>
</file>

<file path=customXml/itemProps2.xml><?xml version="1.0" encoding="utf-8"?>
<ds:datastoreItem xmlns:ds="http://schemas.openxmlformats.org/officeDocument/2006/customXml" ds:itemID="{A4E9E0DD-3044-42F9-A8B6-AE75335B0461}">
  <ds:schemaRefs>
    <ds:schemaRef ds:uri="http://schemas.openxmlformats.org/officeDocument/2006/bibliography"/>
  </ds:schemaRefs>
</ds:datastoreItem>
</file>

<file path=customXml/itemProps3.xml><?xml version="1.0" encoding="utf-8"?>
<ds:datastoreItem xmlns:ds="http://schemas.openxmlformats.org/officeDocument/2006/customXml" ds:itemID="{606E7EE5-250A-4E01-9366-3DC97312194E}">
  <ds:schemaRefs>
    <ds:schemaRef ds:uri="http://purl.org/dc/elements/1.1/"/>
    <ds:schemaRef ds:uri="http://schemas.microsoft.com/office/2006/metadata/properties"/>
    <ds:schemaRef ds:uri="http://schemas.microsoft.com/office/2006/documentManagement/types"/>
    <ds:schemaRef ds:uri="2ca354fd-4360-4dc8-a020-e61f774bcd25"/>
    <ds:schemaRef ds:uri="http://purl.org/dc/terms/"/>
    <ds:schemaRef ds:uri="http://schemas.openxmlformats.org/package/2006/metadata/core-properties"/>
    <ds:schemaRef ds:uri="http://purl.org/dc/dcmitype/"/>
    <ds:schemaRef ds:uri="cd825132-467c-41f6-9969-f0c1c8cfc3d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96BBDF3-55D2-4248-95FA-05FE84C31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Alison Rich</cp:lastModifiedBy>
  <cp:revision>4</cp:revision>
  <dcterms:created xsi:type="dcterms:W3CDTF">2021-03-04T01:51:00Z</dcterms:created>
  <dcterms:modified xsi:type="dcterms:W3CDTF">2021-03-04T01:52:00Z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