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8D02" w14:textId="0FB7EAC8" w:rsidR="00CF307C" w:rsidRPr="00CF307C" w:rsidRDefault="00CF307C" w:rsidP="00CF307C">
      <w:pPr>
        <w:pStyle w:val="StaffH1"/>
        <w:pBdr>
          <w:bottom w:val="single" w:sz="4" w:space="1" w:color="9B0552"/>
        </w:pBdr>
        <w:jc w:val="center"/>
        <w:rPr>
          <w:sz w:val="36"/>
        </w:rPr>
      </w:pPr>
      <w:r>
        <w:rPr>
          <w:sz w:val="36"/>
        </w:rPr>
        <w:t xml:space="preserve"> </w:t>
      </w:r>
      <w:r w:rsidR="00AD5F28">
        <w:rPr>
          <w:sz w:val="36"/>
        </w:rPr>
        <w:t xml:space="preserve">Application </w:t>
      </w:r>
      <w:r>
        <w:rPr>
          <w:sz w:val="36"/>
        </w:rPr>
        <w:t xml:space="preserve">for </w:t>
      </w:r>
      <w:r w:rsidR="00320E5A">
        <w:rPr>
          <w:sz w:val="36"/>
        </w:rPr>
        <w:t>participating in a focus group</w:t>
      </w:r>
    </w:p>
    <w:p w14:paraId="6A2E371A" w14:textId="4973FE8D" w:rsidR="007A67B5" w:rsidRDefault="00320E5A" w:rsidP="007A67B5">
      <w:pPr>
        <w:pStyle w:val="StaffH1"/>
        <w:pBdr>
          <w:bottom w:val="single" w:sz="4" w:space="1" w:color="9B0552"/>
        </w:pBdr>
        <w:jc w:val="center"/>
        <w:rPr>
          <w:sz w:val="36"/>
        </w:rPr>
      </w:pPr>
      <w:r w:rsidRPr="00320E5A">
        <w:rPr>
          <w:sz w:val="36"/>
        </w:rPr>
        <w:t>Rural and remote oral health services strategy</w:t>
      </w:r>
      <w:r w:rsidR="00CF307C" w:rsidRPr="00CF307C">
        <w:rPr>
          <w:sz w:val="36"/>
        </w:rPr>
        <w:t xml:space="preserve"> </w:t>
      </w:r>
    </w:p>
    <w:p w14:paraId="0A04D531" w14:textId="50BCE6A1"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5333CE">
        <w:rPr>
          <w:rFonts w:asciiTheme="minorHAnsi" w:hAnsiTheme="minorHAnsi" w:cstheme="minorHAnsi"/>
          <w:color w:val="auto"/>
          <w:sz w:val="22"/>
        </w:rPr>
        <w:t xml:space="preserve">9am, Friday </w:t>
      </w:r>
      <w:r w:rsidR="00BF7920">
        <w:rPr>
          <w:rFonts w:asciiTheme="minorHAnsi" w:hAnsiTheme="minorHAnsi" w:cstheme="minorHAnsi"/>
          <w:color w:val="auto"/>
          <w:sz w:val="22"/>
        </w:rPr>
        <w:t>18 June 2021</w:t>
      </w:r>
    </w:p>
    <w:p w14:paraId="76735CC3" w14:textId="01F942DD"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6DCD94C3" w14:textId="54A08293" w:rsidR="00375285" w:rsidRDefault="00375285" w:rsidP="0011708E">
      <w:pPr>
        <w:ind w:right="-755"/>
        <w:rPr>
          <w:b/>
        </w:rPr>
      </w:pPr>
      <w:r>
        <w:rPr>
          <w:b/>
        </w:rPr>
        <w:t xml:space="preserve">The Department of Health is </w:t>
      </w:r>
      <w:r w:rsidR="007E13C9">
        <w:rPr>
          <w:b/>
        </w:rPr>
        <w:t xml:space="preserve">seeking </w:t>
      </w:r>
      <w:r>
        <w:rPr>
          <w:b/>
        </w:rPr>
        <w:t>health consumers</w:t>
      </w:r>
      <w:r w:rsidR="005A3A97">
        <w:rPr>
          <w:b/>
        </w:rPr>
        <w:t xml:space="preserve"> and carers</w:t>
      </w:r>
      <w:r>
        <w:rPr>
          <w:b/>
        </w:rPr>
        <w:t xml:space="preserve"> living in rural and remote locations</w:t>
      </w:r>
      <w:r w:rsidR="005A3A97">
        <w:rPr>
          <w:b/>
        </w:rPr>
        <w:t xml:space="preserve"> of Queensland</w:t>
      </w:r>
      <w:r>
        <w:rPr>
          <w:b/>
        </w:rPr>
        <w:t xml:space="preserve"> to participate in </w:t>
      </w:r>
      <w:proofErr w:type="gramStart"/>
      <w:r w:rsidR="005A3A97">
        <w:rPr>
          <w:b/>
        </w:rPr>
        <w:t>a number of</w:t>
      </w:r>
      <w:proofErr w:type="gramEnd"/>
      <w:r w:rsidR="005A3A97">
        <w:rPr>
          <w:b/>
        </w:rPr>
        <w:t xml:space="preserve"> </w:t>
      </w:r>
      <w:r>
        <w:rPr>
          <w:b/>
        </w:rPr>
        <w:t xml:space="preserve">focus groups to contribute to the development of the Queensland Health </w:t>
      </w:r>
      <w:r w:rsidRPr="0026414A">
        <w:rPr>
          <w:b/>
          <w:i/>
          <w:iCs/>
        </w:rPr>
        <w:t>Rural and Remote Oral Health Services Strategy</w:t>
      </w:r>
      <w:r>
        <w:rPr>
          <w:b/>
        </w:rPr>
        <w:t xml:space="preserve">. </w:t>
      </w:r>
    </w:p>
    <w:p w14:paraId="0E6E5C55" w14:textId="0DF21BE7" w:rsidR="007A67B5" w:rsidRPr="00ED06E7" w:rsidRDefault="00375285" w:rsidP="007A67B5">
      <w:pPr>
        <w:ind w:right="-755"/>
        <w:rPr>
          <w:bCs/>
        </w:rPr>
      </w:pPr>
      <w:r w:rsidRPr="00ED06E7">
        <w:rPr>
          <w:bCs/>
        </w:rPr>
        <w:t xml:space="preserve">The purpose of the Strategy is to promote equity of access to </w:t>
      </w:r>
      <w:r w:rsidR="00917B8B" w:rsidRPr="00ED06E7">
        <w:rPr>
          <w:bCs/>
        </w:rPr>
        <w:t>dental care</w:t>
      </w:r>
      <w:r w:rsidRPr="00ED06E7">
        <w:rPr>
          <w:bCs/>
        </w:rPr>
        <w:t xml:space="preserve"> and to improve the oral health outcomes of people living in rural and remote locations across Queensland. The Strategy will identify key priorities in relation to oral health and oral health </w:t>
      </w:r>
      <w:proofErr w:type="gramStart"/>
      <w:r w:rsidRPr="00ED06E7">
        <w:rPr>
          <w:bCs/>
        </w:rPr>
        <w:t>services, and</w:t>
      </w:r>
      <w:proofErr w:type="gramEnd"/>
      <w:r w:rsidRPr="00ED06E7">
        <w:rPr>
          <w:bCs/>
        </w:rPr>
        <w:t xml:space="preserve"> offer a range of approaches to respond to these challenges.</w:t>
      </w:r>
      <w:r w:rsidR="007A67B5" w:rsidRPr="00ED06E7">
        <w:rPr>
          <w:bCs/>
        </w:rPr>
        <w:t xml:space="preserve"> </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2BB88A2C" w14:textId="7848528C" w:rsidR="0011708E" w:rsidRDefault="00D7142D" w:rsidP="00100C20">
      <w:pPr>
        <w:ind w:right="-755"/>
      </w:pPr>
      <w:r>
        <w:t>A series of focus groups</w:t>
      </w:r>
      <w:r w:rsidR="00100C20">
        <w:t xml:space="preserve">, each with 5 or 6 health consumers </w:t>
      </w:r>
      <w:r w:rsidR="00934854">
        <w:t>living in rural and remote locations across Queensland</w:t>
      </w:r>
      <w:r w:rsidR="00100C20">
        <w:t>,</w:t>
      </w:r>
      <w:r w:rsidR="00934854">
        <w:t xml:space="preserve"> will be held to provide an opportunity for consumer</w:t>
      </w:r>
      <w:r w:rsidR="00100C20">
        <w:t>s</w:t>
      </w:r>
      <w:r w:rsidR="00934854">
        <w:t xml:space="preserve"> </w:t>
      </w:r>
      <w:r w:rsidR="004D287A">
        <w:t>to share</w:t>
      </w:r>
      <w:r w:rsidR="00934854">
        <w:t xml:space="preserve"> their experiences </w:t>
      </w:r>
      <w:r w:rsidR="004D287A">
        <w:t>regarding their</w:t>
      </w:r>
      <w:r w:rsidR="00934854">
        <w:t xml:space="preserve"> oral health and accessing dental care</w:t>
      </w:r>
      <w:r w:rsidR="0057023C">
        <w:t xml:space="preserve">, </w:t>
      </w:r>
      <w:r w:rsidR="0057023C" w:rsidRPr="0022461C">
        <w:t>particularly public oral health services</w:t>
      </w:r>
      <w:r w:rsidR="00934854">
        <w:t xml:space="preserve">. </w:t>
      </w:r>
      <w:r w:rsidR="0022461C">
        <w:t>F</w:t>
      </w:r>
      <w:r w:rsidR="004D287A">
        <w:t>ocus group</w:t>
      </w:r>
      <w:r w:rsidR="0022461C">
        <w:t>s</w:t>
      </w:r>
      <w:r w:rsidR="004D287A">
        <w:t xml:space="preserve"> will identify </w:t>
      </w:r>
      <w:r w:rsidR="00100C20">
        <w:t xml:space="preserve">the unique issues and challenges faced by people living in </w:t>
      </w:r>
      <w:r w:rsidR="004D287A">
        <w:t>rural and remote</w:t>
      </w:r>
      <w:r w:rsidR="00100C20">
        <w:t xml:space="preserve"> areas</w:t>
      </w:r>
      <w:r w:rsidR="004D287A">
        <w:t xml:space="preserve">, which will </w:t>
      </w:r>
      <w:r w:rsidR="00100C20">
        <w:t xml:space="preserve">assist </w:t>
      </w:r>
      <w:r w:rsidR="004D287A">
        <w:t>the Department of Health to</w:t>
      </w:r>
      <w:r w:rsidR="00100C20">
        <w:t xml:space="preserve"> determin</w:t>
      </w:r>
      <w:r w:rsidR="0026414A">
        <w:t>e</w:t>
      </w:r>
      <w:r w:rsidR="00100C20">
        <w:t xml:space="preserve"> priorities and develop </w:t>
      </w:r>
      <w:r w:rsidR="0026414A">
        <w:t xml:space="preserve">solutions for the </w:t>
      </w:r>
      <w:r w:rsidR="0026414A" w:rsidRPr="0026414A">
        <w:rPr>
          <w:i/>
          <w:iCs/>
        </w:rPr>
        <w:t>Rural and remote oral health services strategy</w:t>
      </w:r>
      <w:r w:rsidR="00100C20">
        <w:t>.</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4351C743" w14:textId="16842F3A" w:rsidR="00AD386F" w:rsidRDefault="007A67B5" w:rsidP="007A67B5">
      <w:pPr>
        <w:ind w:right="-755"/>
      </w:pPr>
      <w:r w:rsidRPr="00C65182">
        <w:t>The role of the successful applicant</w:t>
      </w:r>
      <w:r w:rsidR="00997206">
        <w:t>s</w:t>
      </w:r>
      <w:r w:rsidRPr="00C65182">
        <w:t xml:space="preserve"> </w:t>
      </w:r>
      <w:r>
        <w:t xml:space="preserve">will be to attend </w:t>
      </w:r>
      <w:r w:rsidR="00917B8B">
        <w:t>an online focus group via Microsoft Teams</w:t>
      </w:r>
      <w:r>
        <w:t xml:space="preserve"> and to a</w:t>
      </w:r>
      <w:r w:rsidRPr="00C65182">
        <w:t xml:space="preserve">ctively participate in </w:t>
      </w:r>
      <w:r w:rsidR="00917B8B">
        <w:t>focus group</w:t>
      </w:r>
      <w:r>
        <w:t xml:space="preserve"> </w:t>
      </w:r>
      <w:proofErr w:type="gramStart"/>
      <w:r>
        <w:t>discussions,</w:t>
      </w:r>
      <w:r w:rsidR="00917B8B">
        <w:t xml:space="preserve"> </w:t>
      </w:r>
      <w:r w:rsidR="0022461C">
        <w:t>and</w:t>
      </w:r>
      <w:proofErr w:type="gramEnd"/>
      <w:r w:rsidR="0022461C">
        <w:t xml:space="preserve"> </w:t>
      </w:r>
      <w:r>
        <w:t>provi</w:t>
      </w:r>
      <w:r w:rsidR="00917B8B">
        <w:t>de</w:t>
      </w:r>
      <w:r>
        <w:t xml:space="preserve"> feedback and advice</w:t>
      </w:r>
      <w:r w:rsidR="00917B8B">
        <w:t xml:space="preserve"> on topics raised by the group.</w:t>
      </w:r>
    </w:p>
    <w:p w14:paraId="46D1AF78" w14:textId="5671A193" w:rsidR="00917B8B" w:rsidRDefault="00917B8B" w:rsidP="007A67B5">
      <w:pPr>
        <w:ind w:right="-755"/>
      </w:pPr>
      <w:r>
        <w:t>Consumers will be asked to consider the following questions prior to participating in the focus group:</w:t>
      </w:r>
    </w:p>
    <w:p w14:paraId="67EFDEB0" w14:textId="6DE0EC13" w:rsidR="00917B8B" w:rsidRDefault="00917B8B" w:rsidP="00917B8B">
      <w:pPr>
        <w:pStyle w:val="ListParagraph"/>
        <w:numPr>
          <w:ilvl w:val="0"/>
          <w:numId w:val="9"/>
        </w:numPr>
        <w:ind w:right="-755"/>
      </w:pPr>
      <w:r w:rsidRPr="00917B8B">
        <w:t xml:space="preserve">What are the </w:t>
      </w:r>
      <w:r w:rsidRPr="00E94031">
        <w:rPr>
          <w:b/>
          <w:bCs/>
        </w:rPr>
        <w:t>barriers</w:t>
      </w:r>
      <w:r w:rsidRPr="00917B8B">
        <w:t xml:space="preserve"> that prevent rural and remote communities from accessing dental care?</w:t>
      </w:r>
    </w:p>
    <w:p w14:paraId="3004EDBE" w14:textId="2E7AFC80" w:rsidR="00917B8B" w:rsidRPr="00917B8B" w:rsidRDefault="00917B8B" w:rsidP="00917B8B">
      <w:pPr>
        <w:pStyle w:val="ListParagraph"/>
        <w:numPr>
          <w:ilvl w:val="0"/>
          <w:numId w:val="9"/>
        </w:numPr>
        <w:ind w:right="-755"/>
        <w:rPr>
          <w:rStyle w:val="Hyperlink"/>
          <w:color w:val="auto"/>
          <w:u w:val="none"/>
        </w:rPr>
      </w:pPr>
      <w:r w:rsidRPr="00917B8B">
        <w:rPr>
          <w:rStyle w:val="Hyperlink"/>
          <w:color w:val="auto"/>
          <w:u w:val="none"/>
        </w:rPr>
        <w:t xml:space="preserve">What are other </w:t>
      </w:r>
      <w:r w:rsidRPr="00E94031">
        <w:rPr>
          <w:rStyle w:val="Hyperlink"/>
          <w:b/>
          <w:bCs/>
          <w:color w:val="auto"/>
          <w:u w:val="none"/>
        </w:rPr>
        <w:t>challenges / issues</w:t>
      </w:r>
      <w:r w:rsidRPr="00917B8B">
        <w:rPr>
          <w:rStyle w:val="Hyperlink"/>
          <w:color w:val="auto"/>
          <w:u w:val="none"/>
        </w:rPr>
        <w:t xml:space="preserve"> that impact on the oral health of rural and remote communities?</w:t>
      </w:r>
    </w:p>
    <w:p w14:paraId="3F35905E" w14:textId="43BCCEBC" w:rsidR="00917B8B" w:rsidRPr="00BF7920" w:rsidRDefault="00917B8B" w:rsidP="00BF7920">
      <w:pPr>
        <w:pStyle w:val="ListParagraph"/>
        <w:numPr>
          <w:ilvl w:val="0"/>
          <w:numId w:val="9"/>
        </w:numPr>
        <w:ind w:right="-755"/>
        <w:rPr>
          <w:rStyle w:val="Hyperlink"/>
          <w:color w:val="auto"/>
          <w:u w:val="none"/>
        </w:rPr>
      </w:pPr>
      <w:r w:rsidRPr="00BF7920">
        <w:rPr>
          <w:rStyle w:val="Hyperlink"/>
          <w:color w:val="auto"/>
          <w:u w:val="none"/>
        </w:rPr>
        <w:t>Reflecting on the challenges / issues identified above</w:t>
      </w:r>
      <w:r w:rsidR="00E94031" w:rsidRPr="00BF7920">
        <w:rPr>
          <w:rStyle w:val="Hyperlink"/>
          <w:color w:val="auto"/>
          <w:u w:val="none"/>
        </w:rPr>
        <w:t>:</w:t>
      </w:r>
      <w:r w:rsidR="00BF7920" w:rsidRPr="00BF7920">
        <w:rPr>
          <w:rStyle w:val="Hyperlink"/>
          <w:color w:val="auto"/>
          <w:u w:val="none"/>
        </w:rPr>
        <w:t xml:space="preserve"> </w:t>
      </w:r>
      <w:r w:rsidR="00E94031" w:rsidRPr="00BF7920">
        <w:rPr>
          <w:rStyle w:val="Hyperlink"/>
          <w:color w:val="auto"/>
          <w:u w:val="none"/>
        </w:rPr>
        <w:t>W</w:t>
      </w:r>
      <w:r w:rsidRPr="00BF7920">
        <w:rPr>
          <w:rStyle w:val="Hyperlink"/>
          <w:color w:val="auto"/>
          <w:u w:val="none"/>
        </w:rPr>
        <w:t xml:space="preserve">hat </w:t>
      </w:r>
      <w:r w:rsidRPr="00BF7920">
        <w:rPr>
          <w:rStyle w:val="Hyperlink"/>
          <w:b/>
          <w:bCs/>
          <w:color w:val="auto"/>
          <w:u w:val="none"/>
        </w:rPr>
        <w:t>strategies</w:t>
      </w:r>
      <w:r w:rsidRPr="00BF7920">
        <w:rPr>
          <w:rStyle w:val="Hyperlink"/>
          <w:color w:val="auto"/>
          <w:u w:val="none"/>
        </w:rPr>
        <w:t xml:space="preserve"> should be considered</w:t>
      </w:r>
      <w:r w:rsidR="00E94031" w:rsidRPr="00BF7920">
        <w:rPr>
          <w:rStyle w:val="Hyperlink"/>
          <w:color w:val="auto"/>
          <w:u w:val="none"/>
        </w:rPr>
        <w:t>?</w:t>
      </w:r>
      <w:r w:rsidR="00BF7920" w:rsidRPr="00BF7920">
        <w:rPr>
          <w:rStyle w:val="Hyperlink"/>
          <w:color w:val="auto"/>
          <w:u w:val="none"/>
        </w:rPr>
        <w:t xml:space="preserve"> </w:t>
      </w:r>
      <w:r w:rsidR="00E94031" w:rsidRPr="00BF7920">
        <w:rPr>
          <w:rStyle w:val="Hyperlink"/>
          <w:b/>
          <w:bCs/>
          <w:color w:val="auto"/>
          <w:u w:val="none"/>
        </w:rPr>
        <w:t>W</w:t>
      </w:r>
      <w:r w:rsidRPr="00BF7920">
        <w:rPr>
          <w:rStyle w:val="Hyperlink"/>
          <w:b/>
          <w:bCs/>
          <w:color w:val="auto"/>
          <w:u w:val="none"/>
        </w:rPr>
        <w:t>ho</w:t>
      </w:r>
      <w:r w:rsidRPr="00BF7920">
        <w:rPr>
          <w:rStyle w:val="Hyperlink"/>
          <w:color w:val="auto"/>
          <w:u w:val="none"/>
        </w:rPr>
        <w:t xml:space="preserve"> should be involved</w:t>
      </w:r>
      <w:r w:rsidR="00E94031" w:rsidRPr="00BF7920">
        <w:rPr>
          <w:rStyle w:val="Hyperlink"/>
          <w:color w:val="auto"/>
          <w:u w:val="none"/>
        </w:rPr>
        <w:t>?</w:t>
      </w:r>
      <w:r w:rsidRPr="00BF7920">
        <w:rPr>
          <w:rStyle w:val="Hyperlink"/>
          <w:color w:val="auto"/>
          <w:u w:val="none"/>
        </w:rPr>
        <w:t xml:space="preserve"> e.g. public health services, non-government organisations, private sector, community groups, education sector</w:t>
      </w:r>
    </w:p>
    <w:p w14:paraId="3C2AFF7A" w14:textId="5B0B4E9B" w:rsidR="00917B8B" w:rsidRDefault="00917B8B" w:rsidP="00917B8B">
      <w:pPr>
        <w:spacing w:before="160"/>
        <w:ind w:right="-754"/>
        <w:rPr>
          <w:rStyle w:val="Hyperlink"/>
          <w:color w:val="auto"/>
          <w:u w:val="none"/>
        </w:rPr>
      </w:pPr>
      <w:r>
        <w:rPr>
          <w:rStyle w:val="Hyperlink"/>
          <w:color w:val="auto"/>
          <w:u w:val="none"/>
        </w:rPr>
        <w:t xml:space="preserve">Consumers may wish to consider </w:t>
      </w:r>
      <w:r w:rsidR="004D287A">
        <w:rPr>
          <w:rStyle w:val="Hyperlink"/>
          <w:color w:val="auto"/>
          <w:u w:val="none"/>
        </w:rPr>
        <w:t>the</w:t>
      </w:r>
      <w:r w:rsidRPr="00917B8B">
        <w:rPr>
          <w:rStyle w:val="Hyperlink"/>
          <w:color w:val="auto"/>
          <w:u w:val="none"/>
        </w:rPr>
        <w:t xml:space="preserve"> six themes </w:t>
      </w:r>
      <w:r>
        <w:rPr>
          <w:rStyle w:val="Hyperlink"/>
          <w:color w:val="auto"/>
          <w:u w:val="none"/>
        </w:rPr>
        <w:t xml:space="preserve">that </w:t>
      </w:r>
      <w:r w:rsidR="004D287A">
        <w:rPr>
          <w:rStyle w:val="Hyperlink"/>
          <w:color w:val="auto"/>
          <w:u w:val="none"/>
        </w:rPr>
        <w:t>will</w:t>
      </w:r>
      <w:r w:rsidRPr="00917B8B">
        <w:rPr>
          <w:rStyle w:val="Hyperlink"/>
          <w:color w:val="auto"/>
          <w:u w:val="none"/>
        </w:rPr>
        <w:t xml:space="preserve"> guide the development of the Strategy</w:t>
      </w:r>
      <w:r>
        <w:rPr>
          <w:rStyle w:val="Hyperlink"/>
          <w:color w:val="auto"/>
          <w:u w:val="none"/>
        </w:rPr>
        <w:t>:</w:t>
      </w:r>
    </w:p>
    <w:p w14:paraId="1E9A9388" w14:textId="77777777" w:rsidR="00917B8B" w:rsidRPr="00917B8B" w:rsidRDefault="00917B8B" w:rsidP="004D287A">
      <w:pPr>
        <w:pStyle w:val="ListParagraph"/>
        <w:numPr>
          <w:ilvl w:val="0"/>
          <w:numId w:val="11"/>
        </w:numPr>
        <w:ind w:right="-755"/>
        <w:rPr>
          <w:rStyle w:val="Hyperlink"/>
          <w:color w:val="auto"/>
          <w:u w:val="none"/>
        </w:rPr>
      </w:pPr>
      <w:r w:rsidRPr="00917B8B">
        <w:rPr>
          <w:rStyle w:val="Hyperlink"/>
          <w:b/>
          <w:bCs/>
          <w:color w:val="auto"/>
          <w:u w:val="none"/>
        </w:rPr>
        <w:t>Prevention</w:t>
      </w:r>
      <w:r w:rsidRPr="00917B8B">
        <w:rPr>
          <w:rStyle w:val="Hyperlink"/>
          <w:color w:val="auto"/>
          <w:u w:val="none"/>
        </w:rPr>
        <w:t>: Promote and protect the health of Queenslanders</w:t>
      </w:r>
    </w:p>
    <w:p w14:paraId="2B1A8014" w14:textId="7D1C88EE" w:rsidR="00917B8B" w:rsidRPr="00917B8B" w:rsidRDefault="00917B8B" w:rsidP="004D287A">
      <w:pPr>
        <w:pStyle w:val="ListParagraph"/>
        <w:numPr>
          <w:ilvl w:val="0"/>
          <w:numId w:val="11"/>
        </w:numPr>
        <w:ind w:right="-755"/>
        <w:rPr>
          <w:rStyle w:val="Hyperlink"/>
          <w:color w:val="auto"/>
          <w:u w:val="none"/>
        </w:rPr>
      </w:pPr>
      <w:r w:rsidRPr="00917B8B">
        <w:rPr>
          <w:rStyle w:val="Hyperlink"/>
          <w:b/>
          <w:bCs/>
          <w:color w:val="auto"/>
          <w:u w:val="none"/>
        </w:rPr>
        <w:t>Access &amp; outcomes</w:t>
      </w:r>
      <w:r w:rsidRPr="00917B8B">
        <w:rPr>
          <w:rStyle w:val="Hyperlink"/>
          <w:color w:val="auto"/>
          <w:u w:val="none"/>
        </w:rPr>
        <w:t>: equitable health outcomes by supporting access to appropriate health services</w:t>
      </w:r>
    </w:p>
    <w:p w14:paraId="32B05788" w14:textId="77777777" w:rsidR="00917B8B" w:rsidRPr="00917B8B" w:rsidRDefault="00917B8B" w:rsidP="004D287A">
      <w:pPr>
        <w:pStyle w:val="ListParagraph"/>
        <w:numPr>
          <w:ilvl w:val="0"/>
          <w:numId w:val="11"/>
        </w:numPr>
        <w:ind w:right="-755"/>
        <w:rPr>
          <w:rStyle w:val="Hyperlink"/>
          <w:color w:val="auto"/>
          <w:u w:val="none"/>
        </w:rPr>
      </w:pPr>
      <w:r w:rsidRPr="00917B8B">
        <w:rPr>
          <w:rStyle w:val="Hyperlink"/>
          <w:b/>
          <w:bCs/>
          <w:color w:val="auto"/>
          <w:u w:val="none"/>
        </w:rPr>
        <w:t>Workforce</w:t>
      </w:r>
      <w:r w:rsidRPr="00917B8B">
        <w:rPr>
          <w:rStyle w:val="Hyperlink"/>
          <w:color w:val="auto"/>
          <w:u w:val="none"/>
        </w:rPr>
        <w:t>: Strengthen the capacity of the existing and future oral health workforce</w:t>
      </w:r>
    </w:p>
    <w:p w14:paraId="321AD533" w14:textId="77777777" w:rsidR="00917B8B" w:rsidRPr="00917B8B" w:rsidRDefault="00917B8B" w:rsidP="004D287A">
      <w:pPr>
        <w:pStyle w:val="ListParagraph"/>
        <w:numPr>
          <w:ilvl w:val="0"/>
          <w:numId w:val="11"/>
        </w:numPr>
        <w:ind w:right="-755"/>
        <w:rPr>
          <w:rStyle w:val="Hyperlink"/>
          <w:color w:val="auto"/>
          <w:u w:val="none"/>
        </w:rPr>
      </w:pPr>
      <w:r w:rsidRPr="00917B8B">
        <w:rPr>
          <w:rStyle w:val="Hyperlink"/>
          <w:b/>
          <w:bCs/>
          <w:color w:val="auto"/>
          <w:u w:val="none"/>
        </w:rPr>
        <w:t>Partnerships</w:t>
      </w:r>
      <w:r w:rsidRPr="00917B8B">
        <w:rPr>
          <w:rStyle w:val="Hyperlink"/>
          <w:color w:val="auto"/>
          <w:u w:val="none"/>
        </w:rPr>
        <w:t>: Pursue partnerships with consumers, communities, health and other organisations</w:t>
      </w:r>
    </w:p>
    <w:p w14:paraId="4A71C25E" w14:textId="77777777" w:rsidR="00917B8B" w:rsidRPr="00917B8B" w:rsidRDefault="00917B8B" w:rsidP="004D287A">
      <w:pPr>
        <w:pStyle w:val="ListParagraph"/>
        <w:numPr>
          <w:ilvl w:val="0"/>
          <w:numId w:val="11"/>
        </w:numPr>
        <w:ind w:right="-755"/>
        <w:rPr>
          <w:rStyle w:val="Hyperlink"/>
          <w:color w:val="auto"/>
          <w:u w:val="none"/>
        </w:rPr>
      </w:pPr>
      <w:r w:rsidRPr="00917B8B">
        <w:rPr>
          <w:rStyle w:val="Hyperlink"/>
          <w:b/>
          <w:bCs/>
          <w:color w:val="auto"/>
          <w:u w:val="none"/>
        </w:rPr>
        <w:t>Sustainability</w:t>
      </w:r>
      <w:r w:rsidRPr="00917B8B">
        <w:rPr>
          <w:rStyle w:val="Hyperlink"/>
          <w:color w:val="auto"/>
          <w:u w:val="none"/>
        </w:rPr>
        <w:t xml:space="preserve">: </w:t>
      </w:r>
      <w:proofErr w:type="spellStart"/>
      <w:r w:rsidRPr="00917B8B">
        <w:rPr>
          <w:rStyle w:val="Hyperlink"/>
          <w:color w:val="auto"/>
          <w:u w:val="none"/>
        </w:rPr>
        <w:t>Maximise</w:t>
      </w:r>
      <w:proofErr w:type="spellEnd"/>
      <w:r w:rsidRPr="00917B8B">
        <w:rPr>
          <w:rStyle w:val="Hyperlink"/>
          <w:color w:val="auto"/>
          <w:u w:val="none"/>
        </w:rPr>
        <w:t xml:space="preserve"> the value derived from the available resources</w:t>
      </w:r>
    </w:p>
    <w:p w14:paraId="093A7CE0" w14:textId="49E2F648" w:rsidR="00917B8B" w:rsidRPr="00917B8B" w:rsidRDefault="00917B8B" w:rsidP="004D287A">
      <w:pPr>
        <w:pStyle w:val="ListParagraph"/>
        <w:numPr>
          <w:ilvl w:val="0"/>
          <w:numId w:val="11"/>
        </w:numPr>
        <w:ind w:right="-755"/>
        <w:rPr>
          <w:rStyle w:val="Hyperlink"/>
          <w:color w:val="auto"/>
          <w:u w:val="none"/>
          <w:lang w:val="en-AU"/>
        </w:rPr>
      </w:pPr>
      <w:r w:rsidRPr="00917B8B">
        <w:rPr>
          <w:rStyle w:val="Hyperlink"/>
          <w:b/>
          <w:bCs/>
          <w:color w:val="auto"/>
          <w:u w:val="none"/>
        </w:rPr>
        <w:t>Innovation</w:t>
      </w:r>
      <w:r w:rsidRPr="00917B8B">
        <w:rPr>
          <w:rStyle w:val="Hyperlink"/>
          <w:color w:val="auto"/>
          <w:u w:val="none"/>
        </w:rPr>
        <w:t>: Support the delivery of sustainable health services through innovation</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Who is it for?</w:t>
      </w:r>
    </w:p>
    <w:p w14:paraId="5C2C9DDD" w14:textId="21C76B7D" w:rsidR="00AD386F" w:rsidRPr="0022461C" w:rsidRDefault="005A08BE" w:rsidP="005A08BE">
      <w:pPr>
        <w:ind w:right="-755"/>
      </w:pPr>
      <w:r w:rsidRPr="0022461C">
        <w:t xml:space="preserve">This opportunity would suit a consumer or </w:t>
      </w:r>
      <w:proofErr w:type="spellStart"/>
      <w:r w:rsidRPr="0022461C">
        <w:t>carer</w:t>
      </w:r>
      <w:proofErr w:type="spellEnd"/>
      <w:r w:rsidRPr="0022461C">
        <w:t xml:space="preserve"> representative </w:t>
      </w:r>
      <w:r w:rsidR="00AD386F" w:rsidRPr="0022461C">
        <w:t xml:space="preserve">who has previously </w:t>
      </w:r>
      <w:r w:rsidR="0057023C" w:rsidRPr="0022461C">
        <w:t>accessed public oral health services</w:t>
      </w:r>
      <w:r w:rsidR="00BF7920" w:rsidRPr="0022461C">
        <w:t>,</w:t>
      </w:r>
      <w:r w:rsidR="0057023C" w:rsidRPr="0022461C">
        <w:t xml:space="preserve"> </w:t>
      </w:r>
      <w:r w:rsidR="00BF7920" w:rsidRPr="0022461C">
        <w:t xml:space="preserve">is eligible to access these services </w:t>
      </w:r>
      <w:r w:rsidR="0057023C" w:rsidRPr="0022461C">
        <w:t>or</w:t>
      </w:r>
      <w:r w:rsidR="00AD386F" w:rsidRPr="0022461C">
        <w:t xml:space="preserve"> </w:t>
      </w:r>
      <w:r w:rsidR="00BF7920" w:rsidRPr="0022461C">
        <w:t>cares for someone who is eligible.</w:t>
      </w:r>
      <w:r w:rsidR="00AD386F" w:rsidRPr="0022461C">
        <w:t xml:space="preserve"> This </w:t>
      </w:r>
      <w:r w:rsidR="0057023C" w:rsidRPr="0022461C">
        <w:t>may</w:t>
      </w:r>
      <w:r w:rsidR="00AD386F" w:rsidRPr="0022461C">
        <w:t xml:space="preserve"> include any of the following:</w:t>
      </w:r>
    </w:p>
    <w:p w14:paraId="0E296B75" w14:textId="0B3B5621" w:rsidR="005A08BE" w:rsidRPr="0022461C" w:rsidRDefault="00AD386F" w:rsidP="00AD386F">
      <w:pPr>
        <w:pStyle w:val="ListParagraph"/>
        <w:numPr>
          <w:ilvl w:val="0"/>
          <w:numId w:val="12"/>
        </w:numPr>
        <w:ind w:right="-755"/>
      </w:pPr>
      <w:r w:rsidRPr="0022461C">
        <w:t>Parents</w:t>
      </w:r>
    </w:p>
    <w:p w14:paraId="5DC3B66D" w14:textId="3AFA3826" w:rsidR="00AD386F" w:rsidRPr="0022461C" w:rsidRDefault="00AD386F" w:rsidP="00AD386F">
      <w:pPr>
        <w:pStyle w:val="ListParagraph"/>
        <w:numPr>
          <w:ilvl w:val="0"/>
          <w:numId w:val="12"/>
        </w:numPr>
        <w:ind w:right="-755"/>
      </w:pPr>
      <w:r w:rsidRPr="0022461C">
        <w:t>Pensioner Concession Card holders</w:t>
      </w:r>
    </w:p>
    <w:p w14:paraId="5CB20A02" w14:textId="4E46B973" w:rsidR="00AD386F" w:rsidRPr="0022461C" w:rsidRDefault="00AD386F" w:rsidP="00AD386F">
      <w:pPr>
        <w:pStyle w:val="ListParagraph"/>
        <w:numPr>
          <w:ilvl w:val="0"/>
          <w:numId w:val="12"/>
        </w:numPr>
        <w:ind w:right="-755"/>
      </w:pPr>
      <w:r w:rsidRPr="0022461C">
        <w:t>Health Care Card holders</w:t>
      </w:r>
    </w:p>
    <w:p w14:paraId="0A455CFA" w14:textId="16E3894F" w:rsidR="00AD386F" w:rsidRPr="0022461C" w:rsidRDefault="00AD386F" w:rsidP="00AD386F">
      <w:pPr>
        <w:pStyle w:val="ListParagraph"/>
        <w:numPr>
          <w:ilvl w:val="0"/>
          <w:numId w:val="12"/>
        </w:numPr>
        <w:ind w:right="-755"/>
      </w:pPr>
      <w:r w:rsidRPr="0022461C">
        <w:t>Queensland Senior Card holders</w:t>
      </w:r>
    </w:p>
    <w:p w14:paraId="321760B6" w14:textId="6690F93A" w:rsidR="00AD386F" w:rsidRPr="0022461C" w:rsidRDefault="00AD386F" w:rsidP="00AD386F">
      <w:pPr>
        <w:pStyle w:val="ListParagraph"/>
        <w:numPr>
          <w:ilvl w:val="0"/>
          <w:numId w:val="12"/>
        </w:numPr>
        <w:ind w:right="-755"/>
      </w:pPr>
      <w:r w:rsidRPr="0022461C">
        <w:t>People living in locations without access to a private dental provider</w:t>
      </w:r>
    </w:p>
    <w:p w14:paraId="4D21D5E0" w14:textId="7A73687B" w:rsidR="00AD386F" w:rsidRPr="0022461C" w:rsidRDefault="00AD386F" w:rsidP="00AD386F">
      <w:pPr>
        <w:ind w:right="-755"/>
      </w:pPr>
    </w:p>
    <w:p w14:paraId="387C413A" w14:textId="6DCABDA4" w:rsidR="00BF7920" w:rsidRPr="0022461C" w:rsidRDefault="00BF7920" w:rsidP="00AD386F">
      <w:pPr>
        <w:ind w:right="-755"/>
      </w:pPr>
      <w:r w:rsidRPr="0022461C">
        <w:t>Public oral health services may include:</w:t>
      </w:r>
    </w:p>
    <w:p w14:paraId="68708287" w14:textId="5312A481" w:rsidR="00BF7920" w:rsidRPr="0022461C" w:rsidRDefault="00BF7920" w:rsidP="00BF7920">
      <w:pPr>
        <w:pStyle w:val="ListParagraph"/>
        <w:numPr>
          <w:ilvl w:val="0"/>
          <w:numId w:val="12"/>
        </w:numPr>
        <w:ind w:right="-755"/>
      </w:pPr>
      <w:r w:rsidRPr="0022461C">
        <w:t xml:space="preserve">Community or hospital-based public dental clinics </w:t>
      </w:r>
    </w:p>
    <w:p w14:paraId="7ED9D456" w14:textId="77777777" w:rsidR="00BF7920" w:rsidRPr="0022461C" w:rsidRDefault="00BF7920" w:rsidP="00BF7920">
      <w:pPr>
        <w:pStyle w:val="ListParagraph"/>
        <w:numPr>
          <w:ilvl w:val="0"/>
          <w:numId w:val="12"/>
        </w:numPr>
        <w:ind w:right="-755"/>
      </w:pPr>
      <w:r w:rsidRPr="0022461C">
        <w:t>School dental service, either at a school clinic or dental van</w:t>
      </w:r>
    </w:p>
    <w:p w14:paraId="15DA2196" w14:textId="7C6276E6" w:rsidR="00BF7920" w:rsidRPr="0022461C" w:rsidRDefault="00BF7920" w:rsidP="00BF7920">
      <w:pPr>
        <w:pStyle w:val="ListParagraph"/>
        <w:numPr>
          <w:ilvl w:val="0"/>
          <w:numId w:val="12"/>
        </w:numPr>
        <w:ind w:right="-755"/>
      </w:pPr>
      <w:r w:rsidRPr="0022461C">
        <w:t>Using a dental voucher at a private dental practice</w:t>
      </w:r>
    </w:p>
    <w:p w14:paraId="71A68939" w14:textId="77777777" w:rsidR="00BF7920" w:rsidRDefault="00BF7920" w:rsidP="00BF7920">
      <w:pPr>
        <w:ind w:right="-755"/>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1E366527" w:rsidR="005D726A" w:rsidRDefault="004D287A" w:rsidP="005D726A">
      <w:pPr>
        <w:autoSpaceDE w:val="0"/>
        <w:autoSpaceDN w:val="0"/>
        <w:adjustRightInd w:val="0"/>
        <w:spacing w:after="120" w:line="240" w:lineRule="auto"/>
        <w:rPr>
          <w:bCs/>
        </w:rPr>
      </w:pPr>
      <w:r w:rsidRPr="004D287A">
        <w:rPr>
          <w:bCs/>
        </w:rPr>
        <w:t xml:space="preserve">Successful applicants </w:t>
      </w:r>
      <w:r>
        <w:rPr>
          <w:bCs/>
        </w:rPr>
        <w:t>will be invited to participate in one focus group of 1</w:t>
      </w:r>
      <w:r w:rsidR="00993570">
        <w:rPr>
          <w:bCs/>
        </w:rPr>
        <w:t xml:space="preserve"> ½ </w:t>
      </w:r>
      <w:r>
        <w:rPr>
          <w:bCs/>
        </w:rPr>
        <w:t>hour</w:t>
      </w:r>
      <w:r w:rsidR="00993570">
        <w:rPr>
          <w:bCs/>
        </w:rPr>
        <w:t>s</w:t>
      </w:r>
      <w:r>
        <w:rPr>
          <w:bCs/>
        </w:rPr>
        <w:t xml:space="preserve"> duration.</w:t>
      </w:r>
    </w:p>
    <w:p w14:paraId="5F692B9C" w14:textId="0E084D00" w:rsidR="005D726A" w:rsidRPr="004D287A" w:rsidRDefault="004D287A" w:rsidP="005D726A">
      <w:pPr>
        <w:autoSpaceDE w:val="0"/>
        <w:autoSpaceDN w:val="0"/>
        <w:adjustRightInd w:val="0"/>
        <w:spacing w:after="120" w:line="240" w:lineRule="auto"/>
        <w:rPr>
          <w:bCs/>
        </w:rPr>
      </w:pPr>
      <w:r>
        <w:rPr>
          <w:bCs/>
        </w:rPr>
        <w:t>Focus groups will be held virtually using Microsoft Teams</w:t>
      </w:r>
      <w:r w:rsidR="00ED06E7" w:rsidRPr="00ED06E7">
        <w:rPr>
          <w:bCs/>
        </w:rPr>
        <w:t xml:space="preserve"> </w:t>
      </w:r>
      <w:r w:rsidR="00ED06E7">
        <w:rPr>
          <w:bCs/>
        </w:rPr>
        <w:t>in late June / early July</w:t>
      </w:r>
      <w:r>
        <w:rPr>
          <w:bCs/>
        </w:rPr>
        <w:t>.</w:t>
      </w:r>
    </w:p>
    <w:p w14:paraId="7D6E27B3" w14:textId="77777777" w:rsidR="00B0595C" w:rsidRDefault="00B0595C" w:rsidP="007A67B5">
      <w:pPr>
        <w:autoSpaceDE w:val="0"/>
        <w:autoSpaceDN w:val="0"/>
        <w:adjustRightInd w:val="0"/>
        <w:spacing w:after="120" w:line="240" w:lineRule="auto"/>
        <w:rPr>
          <w:rStyle w:val="Hyperlink"/>
          <w:bCs/>
          <w:color w:val="9B1D54"/>
          <w:sz w:val="28"/>
          <w:szCs w:val="28"/>
          <w:u w:val="none"/>
        </w:rPr>
      </w:pPr>
    </w:p>
    <w:p w14:paraId="7BCFA167" w14:textId="6201E2FE"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60261F2F" w:rsidR="005D726A" w:rsidRDefault="007A67B5" w:rsidP="007A67B5">
      <w:r w:rsidRPr="00DE276A">
        <w:t xml:space="preserve">Consumers will be remunerated for their time in line with </w:t>
      </w:r>
      <w:hyperlink r:id="rId10" w:history="1">
        <w:r w:rsidRPr="00671551">
          <w:rPr>
            <w:rStyle w:val="Hyperlink"/>
          </w:rPr>
          <w:t>Health Consumers Queensland’s remuneration position statement</w:t>
        </w:r>
      </w:hyperlink>
      <w:r w:rsidRPr="00DE276A">
        <w:t>.</w:t>
      </w:r>
    </w:p>
    <w:p w14:paraId="2CB383E9" w14:textId="25CB1E9F" w:rsidR="00FE7C9E" w:rsidRDefault="00993570" w:rsidP="00FE7C9E">
      <w:r>
        <w:t xml:space="preserve">Consumers will be remunerated for 2 hours at $40 per hour ($80 total). This will include ½ hour </w:t>
      </w:r>
      <w:r w:rsidR="00FE7C9E">
        <w:t>preparation time</w:t>
      </w:r>
      <w:r>
        <w:t xml:space="preserve"> and 1 ½ hours for the focus group</w:t>
      </w:r>
      <w:r w:rsidR="00FE7C9E">
        <w:t>.</w:t>
      </w:r>
    </w:p>
    <w:p w14:paraId="3CB2B705" w14:textId="77777777" w:rsidR="00FE7C9E" w:rsidRPr="00DE276A" w:rsidRDefault="00FE7C9E" w:rsidP="007A67B5"/>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1987A69"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1" w:history="1">
        <w:r w:rsidRPr="00F274C6">
          <w:rPr>
            <w:rStyle w:val="Hyperlink"/>
            <w:b/>
          </w:rPr>
          <w:t>consumer@hcq.org.au</w:t>
        </w:r>
      </w:hyperlink>
      <w:r>
        <w:rPr>
          <w:rStyle w:val="Hyperlink"/>
          <w:b/>
        </w:rPr>
        <w:t xml:space="preserve"> </w:t>
      </w:r>
      <w:r w:rsidRPr="003E09F0">
        <w:rPr>
          <w:rStyle w:val="Hyperlink"/>
          <w:b/>
          <w:bCs/>
          <w:color w:val="auto"/>
        </w:rPr>
        <w:t xml:space="preserve">by </w:t>
      </w:r>
      <w:r w:rsidR="003E09F0" w:rsidRPr="003E09F0">
        <w:rPr>
          <w:rStyle w:val="Hyperlink"/>
          <w:b/>
          <w:bCs/>
          <w:color w:val="auto"/>
        </w:rPr>
        <w:t xml:space="preserve">9am, Friday 18 June </w:t>
      </w:r>
      <w:r w:rsidR="004D287A" w:rsidRPr="004D287A">
        <w:rPr>
          <w:rStyle w:val="Hyperlink"/>
          <w:b/>
          <w:bCs/>
          <w:color w:val="auto"/>
          <w:u w:val="none"/>
        </w:rPr>
        <w:t>2021</w:t>
      </w:r>
      <w:r w:rsidRPr="00996C71">
        <w:rPr>
          <w:rStyle w:val="Hyperlink"/>
          <w:color w:val="auto"/>
          <w:u w:val="none"/>
        </w:rPr>
        <w:t>.</w:t>
      </w:r>
      <w:r w:rsidRPr="00996C71">
        <w:rPr>
          <w:rStyle w:val="Hyperlink"/>
          <w:b/>
          <w:color w:val="auto"/>
        </w:rPr>
        <w:t xml:space="preserve"> </w:t>
      </w:r>
    </w:p>
    <w:p w14:paraId="4663EDD0" w14:textId="77777777" w:rsidR="007A67B5" w:rsidRDefault="007A67B5" w:rsidP="007A67B5">
      <w:r w:rsidRPr="00F274C6">
        <w:t xml:space="preserve">For assistance please contact Health Consumers Queensland via </w:t>
      </w:r>
      <w:hyperlink r:id="rId12" w:history="1">
        <w:r w:rsidRPr="00F274C6">
          <w:rPr>
            <w:rStyle w:val="Hyperlink"/>
          </w:rPr>
          <w:t>consumer@hcq.org.au</w:t>
        </w:r>
      </w:hyperlink>
      <w:r w:rsidRPr="00F274C6">
        <w:t xml:space="preserve"> or by phone on 07 3012 9090.</w:t>
      </w:r>
    </w:p>
    <w:p w14:paraId="66B83E58" w14:textId="77777777" w:rsidR="00AD386F" w:rsidRDefault="00AD386F">
      <w:pPr>
        <w:rPr>
          <w:b/>
          <w:sz w:val="32"/>
          <w:szCs w:val="24"/>
        </w:rPr>
      </w:pPr>
      <w:r>
        <w:rPr>
          <w:b/>
          <w:sz w:val="32"/>
          <w:szCs w:val="24"/>
        </w:rPr>
        <w:br w:type="page"/>
      </w:r>
    </w:p>
    <w:p w14:paraId="02A730EA" w14:textId="641A799C" w:rsidR="007A67B5" w:rsidRDefault="007A67B5" w:rsidP="007A67B5">
      <w:pPr>
        <w:jc w:val="center"/>
        <w:rPr>
          <w:b/>
          <w:sz w:val="32"/>
          <w:szCs w:val="24"/>
        </w:rPr>
      </w:pPr>
      <w:r>
        <w:rPr>
          <w:b/>
          <w:sz w:val="32"/>
          <w:szCs w:val="24"/>
        </w:rPr>
        <w:lastRenderedPageBreak/>
        <w:t>Consumer Application Form</w:t>
      </w:r>
    </w:p>
    <w:p w14:paraId="630C2725" w14:textId="473A055E" w:rsidR="00947678" w:rsidRPr="00996C71" w:rsidRDefault="004D287A" w:rsidP="005D726A">
      <w:pPr>
        <w:jc w:val="center"/>
        <w:rPr>
          <w:b/>
          <w:sz w:val="32"/>
          <w:szCs w:val="24"/>
        </w:rPr>
      </w:pPr>
      <w:r w:rsidRPr="004D287A">
        <w:rPr>
          <w:b/>
          <w:sz w:val="32"/>
          <w:szCs w:val="24"/>
        </w:rPr>
        <w:t>Rural and remote oral health services strategy</w:t>
      </w:r>
      <w:r>
        <w:rPr>
          <w:b/>
          <w:sz w:val="32"/>
          <w:szCs w:val="24"/>
        </w:rPr>
        <w:t xml:space="preserve"> focus group</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3"/>
          <w:footerReference w:type="default" r:id="rId14"/>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04A0D43" w14:textId="77777777" w:rsidR="00997206" w:rsidRPr="00F137BF" w:rsidRDefault="00997206" w:rsidP="008C3230">
      <w:pPr>
        <w:pStyle w:val="StaffH1"/>
        <w:numPr>
          <w:ilvl w:val="0"/>
          <w:numId w:val="1"/>
        </w:numPr>
        <w:spacing w:before="0" w:after="80"/>
        <w:ind w:left="357" w:hanging="357"/>
        <w:rPr>
          <w:rFonts w:asciiTheme="minorHAnsi" w:hAnsiTheme="minorHAnsi" w:cstheme="minorHAnsi"/>
          <w:b w:val="0"/>
          <w:bCs/>
          <w:color w:val="auto"/>
          <w:sz w:val="22"/>
        </w:rPr>
      </w:pPr>
      <w:r w:rsidRPr="00F137BF">
        <w:rPr>
          <w:rFonts w:asciiTheme="minorHAnsi" w:hAnsiTheme="minorHAnsi" w:cstheme="minorHAnsi"/>
          <w:b w:val="0"/>
          <w:bCs/>
          <w:color w:val="auto"/>
          <w:sz w:val="22"/>
        </w:rPr>
        <w:t xml:space="preserve">Accessed public oral health services and is eligible to access these services </w:t>
      </w:r>
    </w:p>
    <w:p w14:paraId="12396FD5" w14:textId="5D2E2B97" w:rsidR="00997206" w:rsidRPr="00F137BF" w:rsidRDefault="00997206" w:rsidP="008C3230">
      <w:pPr>
        <w:pStyle w:val="StaffH1"/>
        <w:numPr>
          <w:ilvl w:val="0"/>
          <w:numId w:val="1"/>
        </w:numPr>
        <w:spacing w:before="0" w:after="80"/>
        <w:ind w:left="357" w:hanging="357"/>
        <w:rPr>
          <w:rFonts w:asciiTheme="minorHAnsi" w:hAnsiTheme="minorHAnsi" w:cstheme="minorHAnsi"/>
          <w:b w:val="0"/>
          <w:bCs/>
          <w:color w:val="auto"/>
          <w:sz w:val="22"/>
        </w:rPr>
      </w:pPr>
      <w:r w:rsidRPr="00F137BF">
        <w:rPr>
          <w:rFonts w:asciiTheme="minorHAnsi" w:hAnsiTheme="minorHAnsi" w:cstheme="minorHAnsi"/>
          <w:b w:val="0"/>
          <w:bCs/>
          <w:color w:val="auto"/>
          <w:sz w:val="22"/>
        </w:rPr>
        <w:t xml:space="preserve">Cares for someone who has accessed public oral health services and who is eligible to access these services </w:t>
      </w:r>
    </w:p>
    <w:p w14:paraId="72AC915F" w14:textId="380AD27A"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4B82417A" w14:textId="65D2ED0F" w:rsidR="00553171" w:rsidRPr="00567FA9" w:rsidRDefault="0075352C" w:rsidP="00ED06E7">
      <w:pPr>
        <w:pStyle w:val="StaffH1"/>
        <w:numPr>
          <w:ilvl w:val="0"/>
          <w:numId w:val="13"/>
        </w:numPr>
        <w:rPr>
          <w:rFonts w:asciiTheme="minorHAnsi" w:hAnsiTheme="minorHAnsi" w:cstheme="minorHAnsi"/>
          <w:b w:val="0"/>
          <w:i/>
          <w:color w:val="808080" w:themeColor="background1" w:themeShade="80"/>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 xml:space="preserve">describe your </w:t>
      </w:r>
      <w:r w:rsidR="006D713A">
        <w:rPr>
          <w:rFonts w:asciiTheme="minorHAnsi" w:hAnsiTheme="minorHAnsi" w:cstheme="minorHAnsi"/>
          <w:color w:val="auto"/>
          <w:sz w:val="22"/>
        </w:rPr>
        <w:t>interest in rural and remote oral health services?</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32386647" w14:textId="118A4C1A" w:rsidR="008012D5" w:rsidRPr="00B0595C" w:rsidRDefault="006D713A" w:rsidP="00B0595C">
      <w:pPr>
        <w:pStyle w:val="StaffH1"/>
        <w:numPr>
          <w:ilvl w:val="0"/>
          <w:numId w:val="13"/>
        </w:numPr>
        <w:rPr>
          <w:rFonts w:asciiTheme="minorHAnsi" w:hAnsiTheme="minorHAnsi" w:cstheme="minorHAnsi"/>
          <w:color w:val="auto"/>
          <w:sz w:val="22"/>
        </w:rPr>
      </w:pPr>
      <w:r w:rsidRPr="00B0595C">
        <w:rPr>
          <w:rFonts w:asciiTheme="minorHAnsi" w:hAnsiTheme="minorHAnsi" w:cstheme="minorHAnsi"/>
          <w:color w:val="auto"/>
          <w:sz w:val="22"/>
        </w:rPr>
        <w:t>Please describe any connections you have to your community (e.g. networks, groups you can tap into o</w:t>
      </w:r>
      <w:r w:rsidR="00B0595C">
        <w:rPr>
          <w:rFonts w:asciiTheme="minorHAnsi" w:hAnsiTheme="minorHAnsi" w:cstheme="minorHAnsi"/>
          <w:color w:val="auto"/>
          <w:sz w:val="22"/>
        </w:rPr>
        <w:t>r</w:t>
      </w:r>
      <w:r w:rsidRPr="00B0595C">
        <w:rPr>
          <w:rFonts w:asciiTheme="minorHAnsi" w:hAnsiTheme="minorHAnsi" w:cstheme="minorHAnsi"/>
          <w:color w:val="auto"/>
          <w:sz w:val="22"/>
        </w:rPr>
        <w:t xml:space="preserve"> other people’s experiences to add to the discussion</w:t>
      </w:r>
      <w:r w:rsidR="00B0595C">
        <w:rPr>
          <w:rFonts w:asciiTheme="minorHAnsi" w:hAnsiTheme="minorHAnsi" w:cstheme="minorHAnsi"/>
          <w:color w:val="auto"/>
          <w:sz w:val="22"/>
        </w:rPr>
        <w:t>)</w:t>
      </w:r>
      <w:r w:rsidRPr="00B0595C">
        <w:rPr>
          <w:rFonts w:asciiTheme="minorHAnsi" w:hAnsiTheme="minorHAnsi" w:cstheme="minorHAnsi"/>
          <w:color w:val="auto"/>
          <w:sz w:val="22"/>
        </w:rPr>
        <w:t xml:space="preserve"> </w:t>
      </w:r>
      <w:r w:rsidRPr="00B0595C">
        <w:rPr>
          <w:rFonts w:asciiTheme="minorHAnsi" w:hAnsiTheme="minorHAnsi" w:cstheme="minorHAnsi"/>
          <w:i/>
          <w:iCs/>
          <w:color w:val="auto"/>
          <w:sz w:val="22"/>
        </w:rPr>
        <w:t>Tip: Think about how this relates to the role you’re applying for.</w:t>
      </w:r>
    </w:p>
    <w:sectPr w:rsidR="008012D5" w:rsidRPr="00B0595C"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5448" w14:textId="77777777" w:rsidR="006C6B36" w:rsidRDefault="006C6B36" w:rsidP="007B1118">
      <w:pPr>
        <w:spacing w:after="0" w:line="240" w:lineRule="auto"/>
      </w:pPr>
      <w:r>
        <w:separator/>
      </w:r>
    </w:p>
  </w:endnote>
  <w:endnote w:type="continuationSeparator" w:id="0">
    <w:p w14:paraId="2D9563F0" w14:textId="77777777" w:rsidR="006C6B36" w:rsidRDefault="006C6B36"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79BB" w14:textId="77777777" w:rsidR="006C6B36" w:rsidRDefault="006C6B36" w:rsidP="007B1118">
      <w:pPr>
        <w:spacing w:after="0" w:line="240" w:lineRule="auto"/>
      </w:pPr>
      <w:r>
        <w:separator/>
      </w:r>
    </w:p>
  </w:footnote>
  <w:footnote w:type="continuationSeparator" w:id="0">
    <w:p w14:paraId="3F210116" w14:textId="77777777" w:rsidR="006C6B36" w:rsidRDefault="006C6B36"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4073"/>
    <w:multiLevelType w:val="hybridMultilevel"/>
    <w:tmpl w:val="58AE5F4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295120A"/>
    <w:multiLevelType w:val="hybridMultilevel"/>
    <w:tmpl w:val="7B6A2D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BD7AE9"/>
    <w:multiLevelType w:val="hybridMultilevel"/>
    <w:tmpl w:val="7B6A2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DC2C43"/>
    <w:multiLevelType w:val="hybridMultilevel"/>
    <w:tmpl w:val="EB20C77C"/>
    <w:lvl w:ilvl="0" w:tplc="62C6A8B0">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D117777"/>
    <w:multiLevelType w:val="hybridMultilevel"/>
    <w:tmpl w:val="E2FA4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6"/>
  </w:num>
  <w:num w:numId="5">
    <w:abstractNumId w:val="12"/>
  </w:num>
  <w:num w:numId="6">
    <w:abstractNumId w:val="7"/>
  </w:num>
  <w:num w:numId="7">
    <w:abstractNumId w:val="2"/>
  </w:num>
  <w:num w:numId="8">
    <w:abstractNumId w:val="8"/>
  </w:num>
  <w:num w:numId="9">
    <w:abstractNumId w:val="4"/>
  </w:num>
  <w:num w:numId="10">
    <w:abstractNumId w:val="1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5172"/>
    <w:rsid w:val="000504A0"/>
    <w:rsid w:val="00067FDB"/>
    <w:rsid w:val="000A1C45"/>
    <w:rsid w:val="000A6D5A"/>
    <w:rsid w:val="00100C20"/>
    <w:rsid w:val="0011708E"/>
    <w:rsid w:val="001A491C"/>
    <w:rsid w:val="0022461C"/>
    <w:rsid w:val="0026414A"/>
    <w:rsid w:val="002D04F0"/>
    <w:rsid w:val="00320E5A"/>
    <w:rsid w:val="00341D41"/>
    <w:rsid w:val="00375285"/>
    <w:rsid w:val="003E09F0"/>
    <w:rsid w:val="003F4436"/>
    <w:rsid w:val="00441807"/>
    <w:rsid w:val="00470534"/>
    <w:rsid w:val="00475D15"/>
    <w:rsid w:val="00480614"/>
    <w:rsid w:val="00493227"/>
    <w:rsid w:val="004D287A"/>
    <w:rsid w:val="004F2068"/>
    <w:rsid w:val="00525CBB"/>
    <w:rsid w:val="005333CE"/>
    <w:rsid w:val="00537C4D"/>
    <w:rsid w:val="00553171"/>
    <w:rsid w:val="00567FA9"/>
    <w:rsid w:val="0057023C"/>
    <w:rsid w:val="005A08BE"/>
    <w:rsid w:val="005A3A97"/>
    <w:rsid w:val="005B42FD"/>
    <w:rsid w:val="005C728F"/>
    <w:rsid w:val="005D726A"/>
    <w:rsid w:val="006C6B36"/>
    <w:rsid w:val="006D713A"/>
    <w:rsid w:val="00715183"/>
    <w:rsid w:val="0075352C"/>
    <w:rsid w:val="007A67B5"/>
    <w:rsid w:val="007B1118"/>
    <w:rsid w:val="007B7AC0"/>
    <w:rsid w:val="007E13C9"/>
    <w:rsid w:val="007E2D3C"/>
    <w:rsid w:val="008012D5"/>
    <w:rsid w:val="008A7949"/>
    <w:rsid w:val="008C3230"/>
    <w:rsid w:val="00917B8B"/>
    <w:rsid w:val="00934854"/>
    <w:rsid w:val="00947678"/>
    <w:rsid w:val="00953EBE"/>
    <w:rsid w:val="00993570"/>
    <w:rsid w:val="00996C71"/>
    <w:rsid w:val="00997206"/>
    <w:rsid w:val="009B305E"/>
    <w:rsid w:val="009D66F5"/>
    <w:rsid w:val="00A81131"/>
    <w:rsid w:val="00A83487"/>
    <w:rsid w:val="00AD386F"/>
    <w:rsid w:val="00AD5F28"/>
    <w:rsid w:val="00AD7DF8"/>
    <w:rsid w:val="00AF4875"/>
    <w:rsid w:val="00B01FEF"/>
    <w:rsid w:val="00B0595C"/>
    <w:rsid w:val="00B75112"/>
    <w:rsid w:val="00B83F53"/>
    <w:rsid w:val="00B85A22"/>
    <w:rsid w:val="00BC4847"/>
    <w:rsid w:val="00BE64FB"/>
    <w:rsid w:val="00BF7920"/>
    <w:rsid w:val="00C532E7"/>
    <w:rsid w:val="00C95682"/>
    <w:rsid w:val="00CC3782"/>
    <w:rsid w:val="00CE4A87"/>
    <w:rsid w:val="00CF307C"/>
    <w:rsid w:val="00D7142D"/>
    <w:rsid w:val="00D7586C"/>
    <w:rsid w:val="00DB3A31"/>
    <w:rsid w:val="00E04855"/>
    <w:rsid w:val="00E82D04"/>
    <w:rsid w:val="00E94031"/>
    <w:rsid w:val="00EA38D5"/>
    <w:rsid w:val="00ED06E7"/>
    <w:rsid w:val="00F137BF"/>
    <w:rsid w:val="00F33C39"/>
    <w:rsid w:val="00F56AC5"/>
    <w:rsid w:val="00FD0A44"/>
    <w:rsid w:val="00FD57CA"/>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37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85"/>
    <w:rPr>
      <w:rFonts w:ascii="Segoe UI" w:hAnsi="Segoe UI" w:cs="Segoe UI"/>
      <w:sz w:val="18"/>
      <w:szCs w:val="18"/>
    </w:rPr>
  </w:style>
  <w:style w:type="character" w:styleId="CommentReference">
    <w:name w:val="annotation reference"/>
    <w:basedOn w:val="DefaultParagraphFont"/>
    <w:uiPriority w:val="99"/>
    <w:semiHidden/>
    <w:unhideWhenUsed/>
    <w:rsid w:val="007E13C9"/>
    <w:rPr>
      <w:sz w:val="16"/>
      <w:szCs w:val="16"/>
    </w:rPr>
  </w:style>
  <w:style w:type="paragraph" w:styleId="CommentText">
    <w:name w:val="annotation text"/>
    <w:basedOn w:val="Normal"/>
    <w:link w:val="CommentTextChar"/>
    <w:uiPriority w:val="99"/>
    <w:semiHidden/>
    <w:unhideWhenUsed/>
    <w:rsid w:val="007E13C9"/>
    <w:pPr>
      <w:spacing w:line="240" w:lineRule="auto"/>
    </w:pPr>
    <w:rPr>
      <w:sz w:val="20"/>
      <w:szCs w:val="20"/>
    </w:rPr>
  </w:style>
  <w:style w:type="character" w:customStyle="1" w:styleId="CommentTextChar">
    <w:name w:val="Comment Text Char"/>
    <w:basedOn w:val="DefaultParagraphFont"/>
    <w:link w:val="CommentText"/>
    <w:uiPriority w:val="99"/>
    <w:semiHidden/>
    <w:rsid w:val="007E13C9"/>
    <w:rPr>
      <w:sz w:val="20"/>
      <w:szCs w:val="20"/>
    </w:rPr>
  </w:style>
  <w:style w:type="paragraph" w:styleId="CommentSubject">
    <w:name w:val="annotation subject"/>
    <w:basedOn w:val="CommentText"/>
    <w:next w:val="CommentText"/>
    <w:link w:val="CommentSubjectChar"/>
    <w:uiPriority w:val="99"/>
    <w:semiHidden/>
    <w:unhideWhenUsed/>
    <w:rsid w:val="007E13C9"/>
    <w:rPr>
      <w:b/>
      <w:bCs/>
    </w:rPr>
  </w:style>
  <w:style w:type="character" w:customStyle="1" w:styleId="CommentSubjectChar">
    <w:name w:val="Comment Subject Char"/>
    <w:basedOn w:val="CommentTextChar"/>
    <w:link w:val="CommentSubject"/>
    <w:uiPriority w:val="99"/>
    <w:semiHidden/>
    <w:rsid w:val="007E1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mer@hcq.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DB35A-964A-4661-A427-5DD19B6E7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2021-05-26T01:05:00Z</dcterms:created>
  <dcterms:modified xsi:type="dcterms:W3CDTF">2021-05-26T01:05:00Z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