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F4D0" w14:textId="42691D9D" w:rsidR="00AD5F28" w:rsidRDefault="00CF307C" w:rsidP="00CF307C">
      <w:pPr>
        <w:pStyle w:val="StaffH1"/>
        <w:pBdr>
          <w:bottom w:val="single" w:sz="4" w:space="1" w:color="9B0552"/>
        </w:pBdr>
        <w:jc w:val="center"/>
        <w:rPr>
          <w:sz w:val="36"/>
        </w:rPr>
      </w:pPr>
      <w:r>
        <w:rPr>
          <w:sz w:val="36"/>
        </w:rPr>
        <w:t xml:space="preserve"> </w:t>
      </w:r>
      <w:r w:rsidR="004841BC" w:rsidRPr="004841BC">
        <w:rPr>
          <w:sz w:val="36"/>
        </w:rPr>
        <w:t xml:space="preserve">Queensland Health Patient Reported Experience Survey - </w:t>
      </w:r>
      <w:r w:rsidR="001C5260">
        <w:rPr>
          <w:sz w:val="36"/>
        </w:rPr>
        <w:t>Endoscopy, Working Group</w:t>
      </w:r>
    </w:p>
    <w:p w14:paraId="15E555E6" w14:textId="56DE36DC" w:rsidR="00A5108D" w:rsidRPr="005F2F4A" w:rsidRDefault="005F2F4A" w:rsidP="005F2F4A">
      <w:pPr>
        <w:spacing w:before="120" w:after="0"/>
        <w:rPr>
          <w:rFonts w:cs="Arial"/>
          <w:b/>
          <w:bCs/>
          <w:lang w:eastAsia="en-AU"/>
        </w:rPr>
      </w:pPr>
      <w:r w:rsidRPr="005F2F4A">
        <w:rPr>
          <w:rFonts w:cs="Arial"/>
          <w:b/>
          <w:bCs/>
          <w:lang w:eastAsia="en-AU"/>
        </w:rPr>
        <w:t>Closing date: 5pm, Friday 9 July 2021</w:t>
      </w:r>
    </w:p>
    <w:p w14:paraId="7A980EB2" w14:textId="77777777" w:rsidR="00AE0C8F" w:rsidRPr="00AE0C8F" w:rsidRDefault="00AE0C8F" w:rsidP="00A5108D">
      <w:pPr>
        <w:ind w:right="-755"/>
        <w:rPr>
          <w:rStyle w:val="Hyperlink"/>
          <w:bCs/>
          <w:color w:val="9B1D54"/>
          <w:sz w:val="4"/>
          <w:szCs w:val="4"/>
        </w:rPr>
      </w:pPr>
    </w:p>
    <w:p w14:paraId="1A1D0849" w14:textId="72DF4647" w:rsidR="00A5108D" w:rsidRPr="007A67B5" w:rsidRDefault="00A5108D" w:rsidP="00A5108D">
      <w:pPr>
        <w:ind w:right="-755"/>
        <w:rPr>
          <w:rStyle w:val="Hyperlink"/>
          <w:bCs/>
          <w:color w:val="9B1D54"/>
          <w:sz w:val="28"/>
          <w:szCs w:val="28"/>
        </w:rPr>
      </w:pPr>
      <w:r>
        <w:rPr>
          <w:rStyle w:val="Hyperlink"/>
          <w:bCs/>
          <w:color w:val="9B1D54"/>
          <w:sz w:val="28"/>
          <w:szCs w:val="28"/>
        </w:rPr>
        <w:t xml:space="preserve">Patient Safety and Quality Improvement Service, Clinical Excellence Queensland, </w:t>
      </w:r>
      <w:r w:rsidRPr="007A67B5">
        <w:rPr>
          <w:rStyle w:val="Hyperlink"/>
          <w:bCs/>
          <w:color w:val="9B1D54"/>
          <w:sz w:val="28"/>
          <w:szCs w:val="28"/>
        </w:rPr>
        <w:t>Department of Health</w:t>
      </w:r>
    </w:p>
    <w:p w14:paraId="356B7D36" w14:textId="77777777" w:rsidR="005F2F4A" w:rsidRPr="005F2F4A" w:rsidRDefault="005F2F4A" w:rsidP="005F2F4A">
      <w:pPr>
        <w:spacing w:before="120" w:after="0"/>
        <w:rPr>
          <w:rFonts w:cs="Arial"/>
          <w:b/>
          <w:bCs/>
          <w:lang w:eastAsia="en-AU"/>
        </w:rPr>
      </w:pPr>
      <w:r w:rsidRPr="005F2F4A">
        <w:rPr>
          <w:rFonts w:cs="Arial"/>
          <w:b/>
          <w:bCs/>
          <w:lang w:eastAsia="en-AU"/>
        </w:rPr>
        <w:t>Patient Safety and Quality Improvement Service (PSQIS) is seeking two (2) health consumer or carer representatives to participate in a working group for the planned statewide Endoscopy survey that will commence in October 2021.</w:t>
      </w:r>
    </w:p>
    <w:p w14:paraId="7E64E558" w14:textId="77777777" w:rsidR="007953D4" w:rsidRPr="007953D4" w:rsidRDefault="007953D4" w:rsidP="007953D4">
      <w:pPr>
        <w:spacing w:before="120" w:after="0"/>
        <w:rPr>
          <w:rFonts w:cs="Arial"/>
          <w:lang w:eastAsia="en-AU"/>
        </w:rPr>
      </w:pPr>
      <w:r w:rsidRPr="007953D4">
        <w:rPr>
          <w:rFonts w:cs="Arial"/>
          <w:lang w:eastAsia="en-AU"/>
        </w:rPr>
        <w:t>This unique opportunity to contribute to the development of a patient reported experience survey will be offered to health consumer representatives who have a lived experience accessing Queensland Health’s Endoscopic services in a Queensland Health facility.</w:t>
      </w:r>
    </w:p>
    <w:p w14:paraId="708CE716" w14:textId="507FF84D" w:rsidR="00A5108D" w:rsidRDefault="007953D4" w:rsidP="00A5108D">
      <w:pPr>
        <w:spacing w:before="120" w:after="0"/>
        <w:rPr>
          <w:rFonts w:cs="Arial"/>
          <w:lang w:eastAsia="en-AU"/>
        </w:rPr>
      </w:pPr>
      <w:r w:rsidRPr="007953D4">
        <w:rPr>
          <w:rFonts w:cs="Arial"/>
          <w:lang w:eastAsia="en-AU"/>
        </w:rPr>
        <w:t>The survey will capture real-time Patient Reported Experience Measures (PREMs) from patients who have undergone a Gastrointestinal Endoscopic procedure and will support clinicians in partnering with patients to achieve safe, high quality care. It will be implemented across all Queensland Health facilities that provide either an inpatient and/or outpatient Endoscopic service in October 2021 using the Queensland Health PREMs and Patient Reported Outcome Measures (PROMs) online system, known as QuestLink.</w:t>
      </w:r>
    </w:p>
    <w:p w14:paraId="54AA825F" w14:textId="77777777" w:rsidR="00E60DF6" w:rsidRDefault="00E60DF6" w:rsidP="00A5108D">
      <w:pPr>
        <w:ind w:right="-755"/>
        <w:rPr>
          <w:rFonts w:cs="Arial"/>
          <w:lang w:eastAsia="en-AU"/>
        </w:rPr>
      </w:pPr>
    </w:p>
    <w:p w14:paraId="1F2F0943" w14:textId="4A0FA144" w:rsidR="00342AF9" w:rsidRPr="00E60DF6" w:rsidRDefault="00E60DF6" w:rsidP="00A5108D">
      <w:pPr>
        <w:ind w:right="-755"/>
        <w:rPr>
          <w:rStyle w:val="Hyperlink"/>
          <w:b/>
          <w:color w:val="auto"/>
          <w:u w:val="none"/>
        </w:rPr>
      </w:pPr>
      <w:r>
        <w:rPr>
          <w:rFonts w:cs="Arial"/>
          <w:lang w:eastAsia="en-AU"/>
        </w:rPr>
        <w:t xml:space="preserve">Queensland Health is implementing a new approach to collecting PREMs and PROMs through online surveys. The PREMs inpatient survey has been successfully implemented in all Hospital and Health Services across Queensland. To read more: </w:t>
      </w:r>
      <w:hyperlink r:id="rId10" w:history="1">
        <w:r>
          <w:rPr>
            <w:rStyle w:val="Hyperlink"/>
            <w:rFonts w:cs="Arial"/>
            <w:lang w:eastAsia="en-AU"/>
          </w:rPr>
          <w:t>www.health.qld.gov.au/preom</w:t>
        </w:r>
      </w:hyperlink>
      <w:r w:rsidRPr="00896547">
        <w:t xml:space="preserve"> </w:t>
      </w:r>
    </w:p>
    <w:p w14:paraId="0E84BF15" w14:textId="77777777" w:rsidR="00E60DF6" w:rsidRPr="0011708E" w:rsidRDefault="00E60DF6" w:rsidP="00E60DF6">
      <w:pPr>
        <w:ind w:right="-755"/>
        <w:rPr>
          <w:rStyle w:val="Hyperlink"/>
          <w:bCs/>
          <w:color w:val="9B1D54"/>
          <w:sz w:val="28"/>
          <w:szCs w:val="28"/>
          <w:u w:val="none"/>
        </w:rPr>
      </w:pPr>
      <w:r w:rsidRPr="007A67B5">
        <w:rPr>
          <w:rStyle w:val="Hyperlink"/>
          <w:bCs/>
          <w:color w:val="9B1D54"/>
          <w:sz w:val="28"/>
          <w:szCs w:val="28"/>
          <w:u w:val="none"/>
        </w:rPr>
        <w:t>Purpose</w:t>
      </w:r>
    </w:p>
    <w:p w14:paraId="402C70CB" w14:textId="0D3DAE68" w:rsidR="00342AF9" w:rsidRPr="00E60DF6" w:rsidRDefault="00E60DF6" w:rsidP="00A5108D">
      <w:pPr>
        <w:ind w:right="-755"/>
        <w:rPr>
          <w:rStyle w:val="Hyperlink"/>
          <w:color w:val="auto"/>
          <w:u w:val="none"/>
        </w:rPr>
      </w:pPr>
      <w:r>
        <w:rPr>
          <w:rFonts w:cs="Arial"/>
          <w:lang w:eastAsia="en-AU"/>
        </w:rPr>
        <w:t>The Working Group will be convened with a multidisciplinary membership including: consumer representatives, surgeons, nurses, and project leads. Members of the group will be invited to share their experience and expertise by providing input into the design and selection of the survey questions and the survey patient scope.</w:t>
      </w:r>
      <w:r>
        <w:t xml:space="preserve">  </w:t>
      </w:r>
    </w:p>
    <w:p w14:paraId="3EB20C07" w14:textId="77777777" w:rsidR="00E60DF6" w:rsidRPr="007A67B5" w:rsidRDefault="00E60DF6" w:rsidP="00E60DF6">
      <w:pPr>
        <w:ind w:right="-755"/>
        <w:rPr>
          <w:rStyle w:val="Hyperlink"/>
          <w:bCs/>
          <w:color w:val="9B1D54"/>
          <w:sz w:val="28"/>
          <w:szCs w:val="28"/>
          <w:u w:val="none"/>
        </w:rPr>
      </w:pPr>
      <w:r w:rsidRPr="007A67B5">
        <w:rPr>
          <w:rStyle w:val="Hyperlink"/>
          <w:bCs/>
          <w:color w:val="9B1D54"/>
          <w:sz w:val="28"/>
          <w:szCs w:val="28"/>
          <w:u w:val="none"/>
        </w:rPr>
        <w:t>Role of the consumer</w:t>
      </w:r>
    </w:p>
    <w:p w14:paraId="4F8447ED" w14:textId="77777777" w:rsidR="00E60DF6" w:rsidRDefault="00E60DF6" w:rsidP="00E60DF6">
      <w:pPr>
        <w:rPr>
          <w:rFonts w:cs="Arial"/>
          <w:lang w:eastAsia="en-AU"/>
        </w:rPr>
      </w:pPr>
      <w:r w:rsidRPr="00896A34">
        <w:rPr>
          <w:rFonts w:cs="Arial"/>
          <w:lang w:eastAsia="en-AU"/>
        </w:rPr>
        <w:t xml:space="preserve">Consumer representatives will have equal standing to other members on the Working Group and contribute their lived experience (including knowledge </w:t>
      </w:r>
      <w:r>
        <w:rPr>
          <w:rFonts w:cs="Arial"/>
          <w:lang w:eastAsia="en-AU"/>
        </w:rPr>
        <w:t>and</w:t>
      </w:r>
      <w:r w:rsidRPr="00896A34">
        <w:rPr>
          <w:rFonts w:cs="Arial"/>
          <w:lang w:eastAsia="en-AU"/>
        </w:rPr>
        <w:t xml:space="preserve"> experience of </w:t>
      </w:r>
      <w:r>
        <w:rPr>
          <w:rFonts w:cs="Arial"/>
          <w:lang w:eastAsia="en-AU"/>
        </w:rPr>
        <w:t>Endoscopy</w:t>
      </w:r>
      <w:r w:rsidRPr="00896A34">
        <w:rPr>
          <w:rFonts w:cs="Arial"/>
          <w:lang w:eastAsia="en-AU"/>
        </w:rPr>
        <w:t xml:space="preserve"> and navigating health systems and services) to the</w:t>
      </w:r>
      <w:r>
        <w:rPr>
          <w:rFonts w:cs="Arial"/>
          <w:lang w:eastAsia="en-AU"/>
        </w:rPr>
        <w:t xml:space="preserve"> group</w:t>
      </w:r>
      <w:r w:rsidRPr="00896A34">
        <w:rPr>
          <w:rFonts w:cs="Arial"/>
          <w:lang w:eastAsia="en-AU"/>
        </w:rPr>
        <w:t xml:space="preserve">.  </w:t>
      </w:r>
    </w:p>
    <w:p w14:paraId="20C831B5" w14:textId="77777777" w:rsidR="00E60DF6" w:rsidRDefault="00E60DF6" w:rsidP="00E60DF6">
      <w:pPr>
        <w:spacing w:before="120"/>
        <w:ind w:right="-754"/>
      </w:pPr>
      <w:r w:rsidRPr="00C65182">
        <w:t>The role of the successful applicant</w:t>
      </w:r>
      <w:r>
        <w:t>s</w:t>
      </w:r>
      <w:r w:rsidRPr="00C65182">
        <w:t xml:space="preserve"> </w:t>
      </w:r>
      <w:r>
        <w:t>will be to attend and actively participate in two working group meetings, which may include pre-meeting reading, discussions, and the provision of feedback and advice. They will:</w:t>
      </w:r>
    </w:p>
    <w:p w14:paraId="3B27A1BB" w14:textId="77777777" w:rsidR="00E60DF6" w:rsidRPr="0023138E" w:rsidRDefault="00E60DF6" w:rsidP="00E60DF6">
      <w:pPr>
        <w:pStyle w:val="ListParagraph"/>
        <w:numPr>
          <w:ilvl w:val="0"/>
          <w:numId w:val="9"/>
        </w:numPr>
        <w:suppressAutoHyphens/>
        <w:autoSpaceDE w:val="0"/>
        <w:autoSpaceDN w:val="0"/>
        <w:adjustRightInd w:val="0"/>
        <w:spacing w:after="113" w:line="240" w:lineRule="atLeast"/>
        <w:contextualSpacing/>
        <w:jc w:val="both"/>
        <w:textAlignment w:val="center"/>
        <w:rPr>
          <w:rFonts w:cs="Arial"/>
        </w:rPr>
      </w:pPr>
      <w:r w:rsidRPr="0023138E">
        <w:t>receive information prior to each meeting</w:t>
      </w:r>
    </w:p>
    <w:p w14:paraId="7A744684" w14:textId="77777777" w:rsidR="00E60DF6" w:rsidRPr="0023138E" w:rsidRDefault="00E60DF6" w:rsidP="00E60DF6">
      <w:pPr>
        <w:pStyle w:val="ListParagraph"/>
        <w:numPr>
          <w:ilvl w:val="0"/>
          <w:numId w:val="9"/>
        </w:numPr>
        <w:suppressAutoHyphens/>
        <w:autoSpaceDE w:val="0"/>
        <w:autoSpaceDN w:val="0"/>
        <w:adjustRightInd w:val="0"/>
        <w:spacing w:after="113" w:line="240" w:lineRule="atLeast"/>
        <w:contextualSpacing/>
        <w:jc w:val="both"/>
        <w:textAlignment w:val="center"/>
        <w:rPr>
          <w:rFonts w:cs="Arial"/>
        </w:rPr>
      </w:pPr>
      <w:r w:rsidRPr="0023138E">
        <w:rPr>
          <w:rFonts w:cs="Arial"/>
        </w:rPr>
        <w:lastRenderedPageBreak/>
        <w:t>actively participate during the two Working Group meetings</w:t>
      </w:r>
    </w:p>
    <w:p w14:paraId="59C23003" w14:textId="77777777" w:rsidR="00E60DF6" w:rsidRDefault="00E60DF6" w:rsidP="00E60DF6">
      <w:pPr>
        <w:pStyle w:val="ListParagraph"/>
        <w:numPr>
          <w:ilvl w:val="0"/>
          <w:numId w:val="9"/>
        </w:numPr>
        <w:suppressAutoHyphens/>
        <w:autoSpaceDE w:val="0"/>
        <w:autoSpaceDN w:val="0"/>
        <w:adjustRightInd w:val="0"/>
        <w:spacing w:after="113" w:line="240" w:lineRule="atLeast"/>
        <w:contextualSpacing/>
        <w:jc w:val="both"/>
        <w:textAlignment w:val="center"/>
        <w:rPr>
          <w:rFonts w:cs="Arial"/>
        </w:rPr>
      </w:pPr>
      <w:r w:rsidRPr="0023138E">
        <w:rPr>
          <w:rFonts w:cs="Arial"/>
        </w:rPr>
        <w:t>provide information and feedback to the group</w:t>
      </w:r>
    </w:p>
    <w:p w14:paraId="29B595C2" w14:textId="3FDB0506" w:rsidR="00342AF9" w:rsidRPr="00E60DF6" w:rsidRDefault="00E60DF6" w:rsidP="00E60DF6">
      <w:pPr>
        <w:pStyle w:val="ListParagraph"/>
        <w:numPr>
          <w:ilvl w:val="0"/>
          <w:numId w:val="9"/>
        </w:numPr>
        <w:suppressAutoHyphens/>
        <w:autoSpaceDE w:val="0"/>
        <w:autoSpaceDN w:val="0"/>
        <w:adjustRightInd w:val="0"/>
        <w:spacing w:after="113" w:line="240" w:lineRule="atLeast"/>
        <w:contextualSpacing/>
        <w:jc w:val="both"/>
        <w:textAlignment w:val="center"/>
        <w:rPr>
          <w:rFonts w:cs="Arial"/>
        </w:rPr>
      </w:pPr>
      <w:r w:rsidRPr="00DC4CAC">
        <w:rPr>
          <w:rFonts w:cs="Arial"/>
        </w:rPr>
        <w:t>provide advice on specific points outside of meetings if required</w:t>
      </w:r>
      <w:r>
        <w:t xml:space="preserve">. </w:t>
      </w:r>
    </w:p>
    <w:p w14:paraId="505C8A20" w14:textId="77777777" w:rsidR="00E60DF6" w:rsidRPr="00E60DF6" w:rsidRDefault="00E60DF6" w:rsidP="00E60DF6">
      <w:pPr>
        <w:pStyle w:val="ListParagraph"/>
        <w:suppressAutoHyphens/>
        <w:autoSpaceDE w:val="0"/>
        <w:autoSpaceDN w:val="0"/>
        <w:adjustRightInd w:val="0"/>
        <w:spacing w:after="113" w:line="240" w:lineRule="atLeast"/>
        <w:ind w:left="360"/>
        <w:contextualSpacing/>
        <w:jc w:val="both"/>
        <w:textAlignment w:val="center"/>
        <w:rPr>
          <w:rStyle w:val="Hyperlink"/>
          <w:rFonts w:cs="Arial"/>
          <w:color w:val="auto"/>
          <w:u w:val="none"/>
        </w:rPr>
      </w:pPr>
    </w:p>
    <w:p w14:paraId="4C1FCB50" w14:textId="77777777" w:rsidR="00E60DF6" w:rsidRPr="007A67B5" w:rsidRDefault="00E60DF6" w:rsidP="00E60DF6">
      <w:pPr>
        <w:ind w:right="-755"/>
        <w:rPr>
          <w:rStyle w:val="Hyperlink"/>
          <w:bCs/>
          <w:color w:val="9B1D54"/>
          <w:sz w:val="28"/>
          <w:szCs w:val="28"/>
          <w:u w:val="none"/>
        </w:rPr>
      </w:pPr>
      <w:r w:rsidRPr="007A67B5">
        <w:rPr>
          <w:rStyle w:val="Hyperlink"/>
          <w:bCs/>
          <w:color w:val="9B1D54"/>
          <w:sz w:val="28"/>
          <w:szCs w:val="28"/>
          <w:u w:val="none"/>
        </w:rPr>
        <w:t>Who is it for?</w:t>
      </w:r>
    </w:p>
    <w:p w14:paraId="7AC799B8" w14:textId="77777777" w:rsidR="00E60DF6" w:rsidRDefault="00E60DF6" w:rsidP="00E60DF6">
      <w:pPr>
        <w:ind w:right="-755"/>
      </w:pPr>
      <w:r>
        <w:t xml:space="preserve">This opportunity would ideally suit health consumer representatives with working group, steering group, or committee experience, either at the Statewide or Hospital and Health Service level and those who have an </w:t>
      </w:r>
      <w:r w:rsidRPr="0023138E">
        <w:t xml:space="preserve">interest in the area of </w:t>
      </w:r>
      <w:r>
        <w:t>Endoscopy</w:t>
      </w:r>
      <w:r w:rsidRPr="0023138E">
        <w:t xml:space="preserve"> and the delivery of treatment and care arranged through </w:t>
      </w:r>
      <w:r>
        <w:t xml:space="preserve">Endoscopic services. </w:t>
      </w:r>
    </w:p>
    <w:p w14:paraId="566129FE" w14:textId="77777777" w:rsidR="00E60DF6" w:rsidRPr="007A67B5" w:rsidRDefault="00E60DF6" w:rsidP="00E60DF6">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6894E2BE" w14:textId="77777777" w:rsidR="00E60DF6" w:rsidRPr="0034283F" w:rsidRDefault="00E60DF6" w:rsidP="00E60DF6">
      <w:pPr>
        <w:spacing w:before="240" w:after="0" w:line="240" w:lineRule="auto"/>
        <w:rPr>
          <w:rFonts w:cs="Arial"/>
          <w:lang w:eastAsia="en-AU"/>
        </w:rPr>
      </w:pPr>
      <w:r w:rsidRPr="0034283F">
        <w:rPr>
          <w:rFonts w:cs="Arial"/>
          <w:lang w:eastAsia="en-AU"/>
        </w:rPr>
        <w:t xml:space="preserve">The Working Group will meet twice in </w:t>
      </w:r>
      <w:r>
        <w:rPr>
          <w:rFonts w:cs="Arial"/>
          <w:lang w:eastAsia="en-AU"/>
        </w:rPr>
        <w:t>July and August</w:t>
      </w:r>
      <w:r w:rsidRPr="0034283F">
        <w:rPr>
          <w:rFonts w:cs="Arial"/>
          <w:lang w:eastAsia="en-AU"/>
        </w:rPr>
        <w:t xml:space="preserve"> 2021.</w:t>
      </w:r>
    </w:p>
    <w:p w14:paraId="32CB7B53" w14:textId="77777777" w:rsidR="00E60DF6" w:rsidRPr="009A4CAB" w:rsidRDefault="00E60DF6" w:rsidP="00E60DF6">
      <w:pPr>
        <w:spacing w:before="240" w:after="0" w:line="240" w:lineRule="auto"/>
        <w:ind w:left="567"/>
        <w:rPr>
          <w:rFonts w:cs="Arial"/>
          <w:b/>
          <w:bCs/>
          <w:lang w:eastAsia="en-AU"/>
        </w:rPr>
      </w:pPr>
      <w:r w:rsidRPr="003E12DD">
        <w:rPr>
          <w:rFonts w:cs="Arial"/>
          <w:b/>
          <w:bCs/>
          <w:lang w:eastAsia="en-AU"/>
        </w:rPr>
        <w:t>Meeting 1:</w:t>
      </w:r>
      <w:r>
        <w:rPr>
          <w:rFonts w:cs="Arial"/>
          <w:lang w:eastAsia="en-AU"/>
        </w:rPr>
        <w:t xml:space="preserve"> Wednesday 28 July 2021, 9-11am</w:t>
      </w:r>
    </w:p>
    <w:p w14:paraId="4346F2FF" w14:textId="77777777" w:rsidR="00E60DF6" w:rsidRDefault="00E60DF6" w:rsidP="00E60DF6">
      <w:pPr>
        <w:spacing w:before="240" w:after="0" w:line="240" w:lineRule="auto"/>
        <w:ind w:left="567"/>
        <w:rPr>
          <w:rFonts w:cs="Arial"/>
          <w:lang w:eastAsia="en-AU"/>
        </w:rPr>
      </w:pPr>
      <w:r w:rsidRPr="003E12DD">
        <w:rPr>
          <w:rFonts w:cs="Arial"/>
          <w:b/>
          <w:bCs/>
          <w:lang w:eastAsia="en-AU"/>
        </w:rPr>
        <w:t>Meeting 2:</w:t>
      </w:r>
      <w:r>
        <w:rPr>
          <w:rFonts w:cs="Arial"/>
          <w:lang w:eastAsia="en-AU"/>
        </w:rPr>
        <w:t xml:space="preserve"> Wednesday 18 August 2021, 9-11am</w:t>
      </w:r>
    </w:p>
    <w:p w14:paraId="13E5044B" w14:textId="77777777" w:rsidR="00E60DF6" w:rsidRDefault="00E60DF6" w:rsidP="00E60DF6">
      <w:pPr>
        <w:spacing w:before="240" w:after="0"/>
        <w:rPr>
          <w:rFonts w:cs="Arial"/>
          <w:lang w:eastAsia="en-AU"/>
        </w:rPr>
      </w:pPr>
      <w:r w:rsidRPr="00386105">
        <w:rPr>
          <w:rFonts w:cs="Arial"/>
          <w:lang w:eastAsia="en-AU"/>
        </w:rPr>
        <w:t>T</w:t>
      </w:r>
      <w:r>
        <w:rPr>
          <w:rFonts w:cs="Arial"/>
          <w:lang w:eastAsia="en-AU"/>
        </w:rPr>
        <w:t>he</w:t>
      </w:r>
      <w:r w:rsidRPr="00386105">
        <w:rPr>
          <w:rFonts w:cs="Arial"/>
          <w:lang w:eastAsia="en-AU"/>
        </w:rPr>
        <w:t xml:space="preserve"> meetings </w:t>
      </w:r>
      <w:r>
        <w:rPr>
          <w:rFonts w:cs="Arial"/>
          <w:lang w:eastAsia="en-AU"/>
        </w:rPr>
        <w:t>will</w:t>
      </w:r>
      <w:r w:rsidRPr="00386105">
        <w:rPr>
          <w:rFonts w:cs="Arial"/>
          <w:lang w:eastAsia="en-AU"/>
        </w:rPr>
        <w:t xml:space="preserve"> take place </w:t>
      </w:r>
      <w:r>
        <w:rPr>
          <w:rFonts w:cs="Arial"/>
          <w:lang w:eastAsia="en-AU"/>
        </w:rPr>
        <w:t>online via Microsoft Teams</w:t>
      </w:r>
      <w:r w:rsidRPr="00386105">
        <w:rPr>
          <w:rFonts w:cs="Arial"/>
          <w:lang w:eastAsia="en-AU"/>
        </w:rPr>
        <w:t>.</w:t>
      </w:r>
    </w:p>
    <w:p w14:paraId="53E27B0D" w14:textId="77777777" w:rsidR="00E60DF6" w:rsidRDefault="00E60DF6" w:rsidP="00E60DF6">
      <w:pPr>
        <w:spacing w:before="240" w:after="0"/>
        <w:rPr>
          <w:rFonts w:cs="Arial"/>
          <w:lang w:eastAsia="en-AU"/>
        </w:rPr>
      </w:pPr>
      <w:r w:rsidRPr="001E4E07">
        <w:rPr>
          <w:rFonts w:eastAsia="Times New Roman" w:cs="Arial"/>
          <w:lang w:eastAsia="en-AU"/>
        </w:rPr>
        <w:t>Where possible, it would be appreciated if representatives could attend both working group meetings.</w:t>
      </w:r>
    </w:p>
    <w:p w14:paraId="2950EC3B" w14:textId="13656079" w:rsidR="00342AF9" w:rsidRDefault="00E60DF6" w:rsidP="00F93391">
      <w:pPr>
        <w:spacing w:before="240" w:after="0"/>
        <w:rPr>
          <w:rFonts w:cs="Arial"/>
          <w:lang w:eastAsia="en-AU"/>
        </w:rPr>
      </w:pPr>
      <w:r w:rsidRPr="00386105">
        <w:rPr>
          <w:rFonts w:cs="Arial"/>
          <w:lang w:eastAsia="en-AU"/>
        </w:rPr>
        <w:t>Some out-of-session preparation will also be required prior to each meeting</w:t>
      </w:r>
      <w:r>
        <w:t>.</w:t>
      </w:r>
    </w:p>
    <w:p w14:paraId="3332BD74" w14:textId="77777777" w:rsidR="00F93391" w:rsidRPr="00F93391" w:rsidRDefault="00F93391" w:rsidP="00F93391">
      <w:pPr>
        <w:spacing w:before="240" w:after="0"/>
        <w:rPr>
          <w:rStyle w:val="Hyperlink"/>
          <w:rFonts w:cs="Arial"/>
          <w:color w:val="auto"/>
          <w:u w:val="none"/>
          <w:lang w:eastAsia="en-AU"/>
        </w:rPr>
      </w:pPr>
    </w:p>
    <w:p w14:paraId="47C68852" w14:textId="77777777" w:rsidR="00F93391" w:rsidRPr="00996C71" w:rsidRDefault="00F93391" w:rsidP="00F93391">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26689EE3" w14:textId="77777777" w:rsidR="00F93391" w:rsidRDefault="00F93391" w:rsidP="00F93391">
      <w:r w:rsidRPr="00DE276A">
        <w:t xml:space="preserve">Consumers will be remunerated for their time in line with </w:t>
      </w:r>
      <w:hyperlink r:id="rId11" w:history="1">
        <w:r w:rsidRPr="00671551">
          <w:rPr>
            <w:rStyle w:val="Hyperlink"/>
          </w:rPr>
          <w:t>Health Consumers Queensland’s remuneration position statement</w:t>
        </w:r>
      </w:hyperlink>
      <w:r w:rsidRPr="00DE276A">
        <w:t xml:space="preserve">. </w:t>
      </w:r>
    </w:p>
    <w:p w14:paraId="16A42FED" w14:textId="77777777" w:rsidR="00F93391" w:rsidRDefault="00F93391" w:rsidP="00F93391">
      <w:r>
        <w:t xml:space="preserve">• $187 for meetings 4 hours and under (including pre-reading) </w:t>
      </w:r>
    </w:p>
    <w:p w14:paraId="33CF592F" w14:textId="77777777" w:rsidR="00F93391" w:rsidRDefault="00F93391" w:rsidP="00F93391">
      <w:r>
        <w:t>• $374 per meeting over 4 hours (including pre-reading)</w:t>
      </w:r>
    </w:p>
    <w:p w14:paraId="349D41DB" w14:textId="3C9AC729" w:rsidR="00F93391" w:rsidRDefault="00F93391" w:rsidP="00F93391">
      <w:r>
        <w:t xml:space="preserve">Parking or travel expenses will not be applicable as the group is meeting via Microsoft Teams. </w:t>
      </w:r>
    </w:p>
    <w:p w14:paraId="74064605" w14:textId="77777777" w:rsidR="00F93391" w:rsidRPr="00996C71" w:rsidRDefault="00F93391" w:rsidP="00F93391">
      <w:pPr>
        <w:ind w:right="-755"/>
        <w:rPr>
          <w:rStyle w:val="Hyperlink"/>
          <w:bCs/>
          <w:color w:val="9B1D54"/>
          <w:sz w:val="28"/>
          <w:szCs w:val="28"/>
          <w:u w:val="none"/>
        </w:rPr>
      </w:pPr>
      <w:r w:rsidRPr="00996C71">
        <w:rPr>
          <w:rStyle w:val="Hyperlink"/>
          <w:bCs/>
          <w:color w:val="9B1D54"/>
          <w:sz w:val="28"/>
          <w:szCs w:val="28"/>
          <w:u w:val="none"/>
        </w:rPr>
        <w:t>How to apply</w:t>
      </w:r>
    </w:p>
    <w:p w14:paraId="2FB91658" w14:textId="77777777" w:rsidR="00F93391" w:rsidRPr="002933DA" w:rsidRDefault="00F93391" w:rsidP="00F93391">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2" w:history="1">
        <w:r w:rsidRPr="00F274C6">
          <w:rPr>
            <w:rStyle w:val="Hyperlink"/>
            <w:b/>
          </w:rPr>
          <w:t>consumer@hcq.org.au</w:t>
        </w:r>
      </w:hyperlink>
      <w:r>
        <w:rPr>
          <w:rStyle w:val="Hyperlink"/>
          <w:b/>
        </w:rPr>
        <w:t xml:space="preserve"> </w:t>
      </w:r>
      <w:r w:rsidRPr="00F93391">
        <w:rPr>
          <w:rStyle w:val="Hyperlink"/>
          <w:b/>
          <w:bCs/>
          <w:color w:val="auto"/>
          <w:u w:val="none"/>
        </w:rPr>
        <w:t>by 5pm, Friday 9 July 2021.</w:t>
      </w:r>
      <w:r w:rsidRPr="00996C71">
        <w:rPr>
          <w:rStyle w:val="Hyperlink"/>
          <w:b/>
          <w:color w:val="auto"/>
        </w:rPr>
        <w:t xml:space="preserve"> </w:t>
      </w:r>
    </w:p>
    <w:p w14:paraId="6A9AF06E" w14:textId="77777777" w:rsidR="00F93391" w:rsidRDefault="00F93391" w:rsidP="00F93391">
      <w:r w:rsidRPr="00F274C6">
        <w:t xml:space="preserve">For assistance please contact Health Consumers Queensland via </w:t>
      </w:r>
      <w:hyperlink r:id="rId13" w:history="1">
        <w:r w:rsidRPr="00F274C6">
          <w:rPr>
            <w:rStyle w:val="Hyperlink"/>
          </w:rPr>
          <w:t>consumer@hcq.org.au</w:t>
        </w:r>
      </w:hyperlink>
      <w:r w:rsidRPr="00F274C6">
        <w:t xml:space="preserve"> or by phone on 07 3012 9090.</w:t>
      </w:r>
    </w:p>
    <w:p w14:paraId="18D73654" w14:textId="134C0478" w:rsidR="00F93391" w:rsidRDefault="00F93391" w:rsidP="00F93391"/>
    <w:p w14:paraId="66541BCD" w14:textId="43BB67C1" w:rsidR="00F93391" w:rsidRDefault="00F93391" w:rsidP="00F93391"/>
    <w:p w14:paraId="4C0E6F22" w14:textId="77777777" w:rsidR="00A5108D" w:rsidRPr="00E875E4" w:rsidRDefault="00A5108D" w:rsidP="00E875E4">
      <w:pPr>
        <w:suppressAutoHyphens/>
        <w:autoSpaceDE w:val="0"/>
        <w:autoSpaceDN w:val="0"/>
        <w:adjustRightInd w:val="0"/>
        <w:spacing w:after="113" w:line="240" w:lineRule="atLeast"/>
        <w:contextualSpacing/>
        <w:jc w:val="both"/>
        <w:textAlignment w:val="center"/>
        <w:rPr>
          <w:rFonts w:cs="Arial"/>
        </w:rPr>
      </w:pPr>
    </w:p>
    <w:p w14:paraId="4A5D85D4" w14:textId="77777777" w:rsidR="00A5108D" w:rsidRDefault="00A5108D" w:rsidP="00A5108D">
      <w:pPr>
        <w:jc w:val="center"/>
        <w:rPr>
          <w:b/>
          <w:sz w:val="32"/>
          <w:szCs w:val="24"/>
        </w:rPr>
      </w:pPr>
      <w:r>
        <w:rPr>
          <w:b/>
          <w:sz w:val="32"/>
          <w:szCs w:val="24"/>
        </w:rPr>
        <w:t>Consumer Application Form</w:t>
      </w:r>
    </w:p>
    <w:p w14:paraId="419D3AF1" w14:textId="77777777" w:rsidR="00E875E4" w:rsidRDefault="00E875E4" w:rsidP="00E875E4">
      <w:pPr>
        <w:pStyle w:val="StaffH1"/>
        <w:pBdr>
          <w:bottom w:val="single" w:sz="4" w:space="1" w:color="9B0552"/>
        </w:pBdr>
        <w:jc w:val="center"/>
        <w:rPr>
          <w:sz w:val="36"/>
        </w:rPr>
      </w:pPr>
      <w:r>
        <w:rPr>
          <w:sz w:val="36"/>
        </w:rPr>
        <w:t>Queensland Health Patient Reported Experience Survey – Endoscopy, Working Group</w:t>
      </w:r>
      <w:r w:rsidRPr="00CF307C">
        <w:rPr>
          <w:sz w:val="36"/>
        </w:rPr>
        <w:t xml:space="preserve"> </w:t>
      </w:r>
    </w:p>
    <w:p w14:paraId="6446A1BD" w14:textId="1C60C3B5"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4"/>
          <w:footerReference w:type="default" r:id="rId15"/>
          <w:pgSz w:w="12240" w:h="15840"/>
          <w:pgMar w:top="1440" w:right="1440" w:bottom="1440" w:left="1440" w:header="11" w:footer="720" w:gutter="0"/>
          <w:cols w:space="720"/>
          <w:docGrid w:linePitch="360"/>
        </w:sectPr>
      </w:pPr>
    </w:p>
    <w:p w14:paraId="364DC1EC"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71F35872" w14:textId="77777777" w:rsidR="00E875E4" w:rsidRDefault="00E875E4" w:rsidP="00E875E4">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H</w:t>
      </w:r>
      <w:r w:rsidRPr="00844A83">
        <w:rPr>
          <w:rFonts w:asciiTheme="minorHAnsi" w:hAnsiTheme="minorHAnsi" w:cstheme="minorHAnsi"/>
          <w:b w:val="0"/>
          <w:color w:val="auto"/>
          <w:sz w:val="22"/>
        </w:rPr>
        <w:t xml:space="preserve">ave a lived experience </w:t>
      </w:r>
      <w:r w:rsidRPr="00213D77">
        <w:rPr>
          <w:rFonts w:asciiTheme="minorHAnsi" w:hAnsiTheme="minorHAnsi" w:cstheme="minorHAnsi"/>
          <w:b w:val="0"/>
          <w:color w:val="auto"/>
          <w:sz w:val="22"/>
        </w:rPr>
        <w:t>accessing Queensland Health’s Endoscopic services</w:t>
      </w:r>
    </w:p>
    <w:p w14:paraId="17820480" w14:textId="7DE698B0" w:rsidR="00E875E4" w:rsidRPr="00E875E4" w:rsidRDefault="00E875E4" w:rsidP="00E875E4">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H</w:t>
      </w:r>
      <w:r w:rsidRPr="00844A83">
        <w:rPr>
          <w:rFonts w:asciiTheme="minorHAnsi" w:hAnsiTheme="minorHAnsi" w:cstheme="minorHAnsi"/>
          <w:b w:val="0"/>
          <w:color w:val="auto"/>
          <w:sz w:val="22"/>
        </w:rPr>
        <w:t xml:space="preserve">ave a lived experience </w:t>
      </w:r>
      <w:r>
        <w:rPr>
          <w:rFonts w:asciiTheme="minorHAnsi" w:hAnsiTheme="minorHAnsi" w:cstheme="minorHAnsi"/>
          <w:b w:val="0"/>
          <w:color w:val="auto"/>
          <w:sz w:val="22"/>
        </w:rPr>
        <w:t xml:space="preserve">caring for someone who has </w:t>
      </w:r>
      <w:r w:rsidRPr="00844A83">
        <w:rPr>
          <w:rFonts w:asciiTheme="minorHAnsi" w:hAnsiTheme="minorHAnsi" w:cstheme="minorHAnsi"/>
          <w:b w:val="0"/>
          <w:color w:val="auto"/>
          <w:sz w:val="22"/>
        </w:rPr>
        <w:t>access</w:t>
      </w:r>
      <w:r>
        <w:rPr>
          <w:rFonts w:asciiTheme="minorHAnsi" w:hAnsiTheme="minorHAnsi" w:cstheme="minorHAnsi"/>
          <w:b w:val="0"/>
          <w:color w:val="auto"/>
          <w:sz w:val="22"/>
        </w:rPr>
        <w:t>ed</w:t>
      </w:r>
      <w:r w:rsidRPr="00844A83">
        <w:rPr>
          <w:rFonts w:asciiTheme="minorHAnsi" w:hAnsiTheme="minorHAnsi" w:cstheme="minorHAnsi"/>
          <w:b w:val="0"/>
          <w:color w:val="auto"/>
          <w:sz w:val="22"/>
        </w:rPr>
        <w:t xml:space="preserve"> </w:t>
      </w:r>
      <w:r w:rsidRPr="00213D77">
        <w:rPr>
          <w:rFonts w:asciiTheme="minorHAnsi" w:hAnsiTheme="minorHAnsi" w:cstheme="minorHAnsi"/>
          <w:b w:val="0"/>
          <w:color w:val="auto"/>
          <w:sz w:val="22"/>
        </w:rPr>
        <w:t>Queensland Health’s Endoscopic services</w:t>
      </w:r>
    </w:p>
    <w:p w14:paraId="72AC915F" w14:textId="38E07F5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6151E09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1D21330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1DAE91C5"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4D1AF554"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1E426B4A"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CE429F3"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582A521A"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71346973" w14:textId="77777777" w:rsidTr="00475D15">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5C12867A"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4DBDCC1D"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054C4D8E"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5B47EBF8"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5A3FAA16"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576D03C8" w14:textId="77777777" w:rsidR="007B1118" w:rsidRDefault="007B1118" w:rsidP="009D66F5">
      <w:pPr>
        <w:pStyle w:val="StaffH1"/>
        <w:rPr>
          <w:rFonts w:asciiTheme="minorHAnsi" w:hAnsiTheme="minorHAnsi" w:cstheme="minorHAnsi"/>
          <w:b w:val="0"/>
          <w:i/>
          <w:color w:val="auto"/>
          <w:sz w:val="22"/>
        </w:rPr>
      </w:pPr>
    </w:p>
    <w:p w14:paraId="0C36EED2" w14:textId="77777777" w:rsidR="00A83487" w:rsidRDefault="00A83487" w:rsidP="009D66F5">
      <w:pPr>
        <w:pStyle w:val="StaffH1"/>
        <w:rPr>
          <w:rFonts w:asciiTheme="minorHAnsi" w:hAnsiTheme="minorHAnsi" w:cstheme="minorHAnsi"/>
          <w:b w:val="0"/>
          <w:i/>
          <w:color w:val="auto"/>
          <w:sz w:val="20"/>
          <w:szCs w:val="20"/>
        </w:rPr>
      </w:pPr>
    </w:p>
    <w:p w14:paraId="327495A1"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3D9D02D4" w14:textId="6CA1D97E" w:rsidR="00553171" w:rsidRPr="00567FA9" w:rsidRDefault="0096440F" w:rsidP="00AA3768">
      <w:pPr>
        <w:pStyle w:val="StaffH1"/>
        <w:ind w:left="360"/>
        <w:rPr>
          <w:rFonts w:asciiTheme="minorHAnsi" w:hAnsiTheme="minorHAnsi" w:cstheme="minorHAnsi"/>
          <w:b w:val="0"/>
          <w:i/>
          <w:color w:val="auto"/>
          <w:sz w:val="22"/>
        </w:rPr>
      </w:pPr>
      <w:r>
        <w:rPr>
          <w:rFonts w:asciiTheme="minorHAnsi" w:hAnsiTheme="minorHAnsi" w:cstheme="minorHAnsi"/>
          <w:color w:val="auto"/>
          <w:sz w:val="22"/>
        </w:rPr>
        <w:t xml:space="preserve">1. </w:t>
      </w:r>
      <w:r w:rsidR="0075352C" w:rsidRPr="0075352C">
        <w:rPr>
          <w:rFonts w:asciiTheme="minorHAnsi" w:hAnsiTheme="minorHAnsi" w:cstheme="minorHAnsi"/>
          <w:color w:val="auto"/>
          <w:sz w:val="22"/>
        </w:rPr>
        <w:t xml:space="preserve">Please </w:t>
      </w:r>
      <w:r w:rsidR="0075352C">
        <w:rPr>
          <w:rFonts w:asciiTheme="minorHAnsi" w:hAnsiTheme="minorHAnsi" w:cstheme="minorHAnsi"/>
          <w:color w:val="auto"/>
          <w:sz w:val="22"/>
        </w:rPr>
        <w:t>describe your experience</w:t>
      </w:r>
      <w:r w:rsidR="0075352C" w:rsidRPr="0075352C">
        <w:rPr>
          <w:rFonts w:asciiTheme="minorHAnsi" w:hAnsiTheme="minorHAnsi" w:cstheme="minorHAnsi"/>
          <w:color w:val="auto"/>
          <w:sz w:val="22"/>
        </w:rPr>
        <w:t xml:space="preserve"> as a health consumer representative including committees, focus groups, surveys, governance roles, etc.</w:t>
      </w:r>
      <w:r w:rsidR="0075352C">
        <w:rPr>
          <w:rFonts w:asciiTheme="minorHAnsi" w:hAnsiTheme="minorHAnsi" w:cstheme="minorHAnsi"/>
          <w:color w:val="auto"/>
          <w:sz w:val="22"/>
        </w:rPr>
        <w:t xml:space="preserve"> </w:t>
      </w:r>
    </w:p>
    <w:p w14:paraId="4B82417A"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5F16C394" w14:textId="77777777" w:rsidR="00553171" w:rsidRDefault="00553171" w:rsidP="00553171">
      <w:pPr>
        <w:pStyle w:val="StaffH1"/>
        <w:rPr>
          <w:rFonts w:asciiTheme="minorHAnsi" w:hAnsiTheme="minorHAnsi" w:cstheme="minorHAnsi"/>
          <w:sz w:val="20"/>
          <w:szCs w:val="20"/>
        </w:rPr>
      </w:pPr>
    </w:p>
    <w:p w14:paraId="0759F1F1" w14:textId="77777777" w:rsidR="00553171" w:rsidRDefault="00553171" w:rsidP="00553171">
      <w:pPr>
        <w:pStyle w:val="StaffH1"/>
        <w:rPr>
          <w:rFonts w:asciiTheme="minorHAnsi" w:hAnsiTheme="minorHAnsi" w:cstheme="minorHAnsi"/>
          <w:sz w:val="20"/>
          <w:szCs w:val="20"/>
        </w:rPr>
      </w:pPr>
    </w:p>
    <w:p w14:paraId="20A3509E" w14:textId="77777777" w:rsidR="00553171" w:rsidRDefault="00553171" w:rsidP="00553171">
      <w:pPr>
        <w:pStyle w:val="StaffH1"/>
        <w:rPr>
          <w:rFonts w:asciiTheme="minorHAnsi" w:hAnsiTheme="minorHAnsi" w:cstheme="minorHAnsi"/>
          <w:sz w:val="20"/>
          <w:szCs w:val="20"/>
        </w:rPr>
      </w:pPr>
    </w:p>
    <w:p w14:paraId="34587B5D" w14:textId="77777777" w:rsidR="00553171" w:rsidRDefault="00553171" w:rsidP="00553171">
      <w:pPr>
        <w:pStyle w:val="StaffH1"/>
        <w:rPr>
          <w:rFonts w:asciiTheme="minorHAnsi" w:hAnsiTheme="minorHAnsi" w:cstheme="minorHAnsi"/>
          <w:sz w:val="20"/>
          <w:szCs w:val="20"/>
        </w:rPr>
      </w:pPr>
    </w:p>
    <w:p w14:paraId="4A724C5D" w14:textId="77777777" w:rsidR="00AF4875" w:rsidRPr="00567FA9" w:rsidRDefault="00AF4875" w:rsidP="00553171">
      <w:pPr>
        <w:pStyle w:val="StaffH1"/>
        <w:rPr>
          <w:rFonts w:asciiTheme="minorHAnsi" w:hAnsiTheme="minorHAnsi" w:cstheme="minorHAnsi"/>
          <w:sz w:val="22"/>
        </w:rPr>
      </w:pPr>
    </w:p>
    <w:p w14:paraId="1DE85D3C" w14:textId="77777777" w:rsidR="008012D5" w:rsidRPr="00480614" w:rsidRDefault="00AF4875" w:rsidP="00480614">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4C992117" w14:textId="77777777" w:rsidR="008012D5" w:rsidRPr="00567FA9" w:rsidRDefault="008012D5" w:rsidP="00553171">
      <w:pPr>
        <w:pStyle w:val="StaffH1"/>
        <w:rPr>
          <w:rFonts w:asciiTheme="minorHAnsi" w:hAnsiTheme="minorHAnsi" w:cstheme="minorHAnsi"/>
          <w:b w:val="0"/>
          <w:i/>
          <w:color w:val="auto"/>
          <w:sz w:val="22"/>
        </w:rPr>
      </w:pPr>
    </w:p>
    <w:p w14:paraId="29974CDE" w14:textId="77777777" w:rsidR="00FD57CA" w:rsidRPr="00567FA9" w:rsidRDefault="00FD57CA" w:rsidP="00553171">
      <w:pPr>
        <w:pStyle w:val="StaffH1"/>
        <w:rPr>
          <w:rFonts w:asciiTheme="minorHAnsi" w:hAnsiTheme="minorHAnsi" w:cstheme="minorHAnsi"/>
          <w:b w:val="0"/>
          <w:i/>
          <w:color w:val="auto"/>
          <w:sz w:val="22"/>
        </w:rPr>
      </w:pPr>
    </w:p>
    <w:p w14:paraId="2C6CAE80" w14:textId="77777777" w:rsidR="00C532E7" w:rsidRPr="00567FA9" w:rsidRDefault="00C532E7" w:rsidP="00553171">
      <w:pPr>
        <w:pStyle w:val="StaffH1"/>
        <w:rPr>
          <w:rFonts w:asciiTheme="minorHAnsi" w:hAnsiTheme="minorHAnsi" w:cstheme="minorHAnsi"/>
          <w:b w:val="0"/>
          <w:i/>
          <w:color w:val="auto"/>
          <w:sz w:val="22"/>
        </w:rPr>
      </w:pPr>
    </w:p>
    <w:p w14:paraId="7320D0AC" w14:textId="00266F26" w:rsidR="0043418F" w:rsidRPr="00AA3768" w:rsidRDefault="00E82D04" w:rsidP="0043418F">
      <w:pPr>
        <w:pStyle w:val="StaffH1"/>
        <w:numPr>
          <w:ilvl w:val="0"/>
          <w:numId w:val="1"/>
        </w:numPr>
        <w:rPr>
          <w:rFonts w:asciiTheme="minorHAnsi" w:hAnsiTheme="minorHAnsi" w:cstheme="minorHAnsi"/>
          <w:b w:val="0"/>
          <w:i/>
          <w:color w:val="A6A6A6" w:themeColor="background1" w:themeShade="A6"/>
          <w:sz w:val="22"/>
        </w:rPr>
      </w:pPr>
      <w:r w:rsidRPr="0043418F">
        <w:rPr>
          <w:rFonts w:asciiTheme="minorHAnsi" w:hAnsiTheme="minorHAnsi" w:cstheme="minorHAnsi"/>
          <w:color w:val="auto"/>
          <w:sz w:val="22"/>
        </w:rPr>
        <w:t xml:space="preserve">Please describe your interest in </w:t>
      </w:r>
      <w:r w:rsidR="00E875E4">
        <w:rPr>
          <w:rFonts w:asciiTheme="minorHAnsi" w:hAnsiTheme="minorHAnsi" w:cstheme="minorHAnsi"/>
          <w:color w:val="auto"/>
          <w:sz w:val="22"/>
        </w:rPr>
        <w:t>joining th</w:t>
      </w:r>
      <w:r w:rsidR="0070607C">
        <w:rPr>
          <w:rFonts w:asciiTheme="minorHAnsi" w:hAnsiTheme="minorHAnsi" w:cstheme="minorHAnsi"/>
          <w:color w:val="auto"/>
          <w:sz w:val="22"/>
        </w:rPr>
        <w:t xml:space="preserve">e PREMS </w:t>
      </w:r>
      <w:r w:rsidR="0070607C" w:rsidRPr="0070607C">
        <w:rPr>
          <w:rFonts w:asciiTheme="minorHAnsi" w:hAnsiTheme="minorHAnsi" w:cstheme="minorHAnsi"/>
          <w:color w:val="auto"/>
          <w:sz w:val="22"/>
        </w:rPr>
        <w:t xml:space="preserve">endoscopy </w:t>
      </w:r>
      <w:r w:rsidR="00E875E4">
        <w:rPr>
          <w:rFonts w:asciiTheme="minorHAnsi" w:hAnsiTheme="minorHAnsi" w:cstheme="minorHAnsi"/>
          <w:color w:val="auto"/>
          <w:sz w:val="22"/>
        </w:rPr>
        <w:t>working group?</w:t>
      </w:r>
      <w:r w:rsidR="00480614" w:rsidRPr="0043418F">
        <w:rPr>
          <w:rFonts w:asciiTheme="minorHAnsi" w:hAnsiTheme="minorHAnsi" w:cstheme="minorHAnsi"/>
          <w:color w:val="auto"/>
          <w:sz w:val="22"/>
        </w:rPr>
        <w:t xml:space="preserve"> </w:t>
      </w:r>
      <w:r w:rsidR="008012D5" w:rsidRPr="00AA3768">
        <w:rPr>
          <w:rFonts w:asciiTheme="minorHAnsi" w:hAnsiTheme="minorHAnsi" w:cstheme="minorHAnsi"/>
          <w:b w:val="0"/>
          <w:i/>
          <w:color w:val="A6A6A6" w:themeColor="background1" w:themeShade="A6"/>
          <w:sz w:val="22"/>
        </w:rPr>
        <w:t xml:space="preserve">Tip: </w:t>
      </w:r>
      <w:r w:rsidR="0043418F" w:rsidRPr="00AA3768">
        <w:rPr>
          <w:rFonts w:asciiTheme="minorHAnsi" w:hAnsiTheme="minorHAnsi" w:cstheme="minorHAnsi"/>
          <w:b w:val="0"/>
          <w:i/>
          <w:color w:val="A6A6A6" w:themeColor="background1" w:themeShade="A6"/>
          <w:sz w:val="22"/>
        </w:rPr>
        <w:t>share any past lived experience that shows your understanding of the topic</w:t>
      </w:r>
    </w:p>
    <w:p w14:paraId="6BEFB5BD"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661BF8F6" w14:textId="39238C30" w:rsidR="00FD0A44" w:rsidRDefault="00FD0A44" w:rsidP="00FD0A44">
      <w:pPr>
        <w:pStyle w:val="StaffH1"/>
        <w:rPr>
          <w:rFonts w:asciiTheme="minorHAnsi" w:hAnsiTheme="minorHAnsi" w:cstheme="minorHAnsi"/>
          <w:b w:val="0"/>
          <w:i/>
          <w:color w:val="808080" w:themeColor="background1" w:themeShade="80"/>
          <w:sz w:val="22"/>
        </w:rPr>
      </w:pPr>
    </w:p>
    <w:p w14:paraId="23C5F0A5" w14:textId="7BADB04C" w:rsidR="00E875E4" w:rsidRDefault="00E875E4" w:rsidP="00FD0A44">
      <w:pPr>
        <w:pStyle w:val="StaffH1"/>
        <w:rPr>
          <w:rFonts w:asciiTheme="minorHAnsi" w:hAnsiTheme="minorHAnsi" w:cstheme="minorHAnsi"/>
          <w:b w:val="0"/>
          <w:i/>
          <w:color w:val="808080" w:themeColor="background1" w:themeShade="80"/>
          <w:sz w:val="22"/>
        </w:rPr>
      </w:pPr>
    </w:p>
    <w:p w14:paraId="515142F4" w14:textId="3582617C" w:rsidR="00E875E4" w:rsidRDefault="00E875E4" w:rsidP="00FD0A44">
      <w:pPr>
        <w:pStyle w:val="StaffH1"/>
        <w:rPr>
          <w:rFonts w:asciiTheme="minorHAnsi" w:hAnsiTheme="minorHAnsi" w:cstheme="minorHAnsi"/>
          <w:b w:val="0"/>
          <w:i/>
          <w:color w:val="808080" w:themeColor="background1" w:themeShade="80"/>
          <w:sz w:val="22"/>
        </w:rPr>
      </w:pPr>
    </w:p>
    <w:p w14:paraId="65E29987" w14:textId="77777777" w:rsidR="00E875E4" w:rsidRPr="00567FA9" w:rsidRDefault="00E875E4" w:rsidP="00FD0A44">
      <w:pPr>
        <w:pStyle w:val="StaffH1"/>
        <w:rPr>
          <w:rFonts w:asciiTheme="minorHAnsi" w:hAnsiTheme="minorHAnsi" w:cstheme="minorHAnsi"/>
          <w:b w:val="0"/>
          <w:i/>
          <w:color w:val="808080" w:themeColor="background1" w:themeShade="80"/>
          <w:sz w:val="22"/>
        </w:rPr>
      </w:pPr>
    </w:p>
    <w:p w14:paraId="5A2AE562" w14:textId="6CE46916" w:rsidR="00FD0A44" w:rsidRPr="00B83F53" w:rsidRDefault="002D04F0" w:rsidP="00FD0A44">
      <w:pPr>
        <w:pStyle w:val="StaffH1"/>
        <w:rPr>
          <w:rFonts w:asciiTheme="minorHAnsi" w:hAnsiTheme="minorHAnsi" w:cstheme="minorHAnsi"/>
          <w:bCs/>
          <w:i/>
          <w:color w:val="auto"/>
          <w:sz w:val="22"/>
        </w:rPr>
      </w:pPr>
      <w:r w:rsidRPr="00B83F53">
        <w:rPr>
          <w:rFonts w:asciiTheme="minorHAnsi" w:hAnsiTheme="minorHAnsi" w:cstheme="minorHAnsi"/>
          <w:bCs/>
          <w:i/>
          <w:color w:val="auto"/>
          <w:sz w:val="22"/>
        </w:rPr>
        <w:t xml:space="preserve">Referee Section </w:t>
      </w:r>
    </w:p>
    <w:p w14:paraId="3AAECFA5" w14:textId="77777777"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14:paraId="5F60CE1F" w14:textId="77777777" w:rsidR="00B01FEF" w:rsidRDefault="00B01FEF" w:rsidP="00FD0A44">
      <w:pPr>
        <w:pStyle w:val="StaffH1"/>
        <w:rPr>
          <w:rFonts w:asciiTheme="minorHAnsi" w:hAnsiTheme="minorHAnsi" w:cstheme="minorHAnsi"/>
          <w:b w:val="0"/>
          <w:color w:val="auto"/>
          <w:sz w:val="22"/>
        </w:rPr>
      </w:pPr>
    </w:p>
    <w:p w14:paraId="1FD06BA8"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19BED13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486C116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(eg. Committee Chair):</w:t>
      </w:r>
    </w:p>
    <w:p w14:paraId="74E3822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570478FE"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61A280E9"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32386647"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5448" w14:textId="77777777" w:rsidR="006C6B36" w:rsidRDefault="006C6B36" w:rsidP="007B1118">
      <w:pPr>
        <w:spacing w:after="0" w:line="240" w:lineRule="auto"/>
      </w:pPr>
      <w:r>
        <w:separator/>
      </w:r>
    </w:p>
  </w:endnote>
  <w:endnote w:type="continuationSeparator" w:id="0">
    <w:p w14:paraId="2D9563F0" w14:textId="77777777" w:rsidR="006C6B36" w:rsidRDefault="006C6B36"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79BB" w14:textId="77777777" w:rsidR="006C6B36" w:rsidRDefault="006C6B36" w:rsidP="007B1118">
      <w:pPr>
        <w:spacing w:after="0" w:line="240" w:lineRule="auto"/>
      </w:pPr>
      <w:r>
        <w:separator/>
      </w:r>
    </w:p>
  </w:footnote>
  <w:footnote w:type="continuationSeparator" w:id="0">
    <w:p w14:paraId="3F210116" w14:textId="77777777" w:rsidR="006C6B36" w:rsidRDefault="006C6B36"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3"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6562FA"/>
    <w:multiLevelType w:val="hybridMultilevel"/>
    <w:tmpl w:val="13841D4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8"/>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16281"/>
    <w:rsid w:val="000504A0"/>
    <w:rsid w:val="00067FDB"/>
    <w:rsid w:val="000A1C45"/>
    <w:rsid w:val="000A6D5A"/>
    <w:rsid w:val="000D583D"/>
    <w:rsid w:val="0011708E"/>
    <w:rsid w:val="001A491C"/>
    <w:rsid w:val="001C5260"/>
    <w:rsid w:val="002D04F0"/>
    <w:rsid w:val="00341D41"/>
    <w:rsid w:val="00342AF9"/>
    <w:rsid w:val="003F4436"/>
    <w:rsid w:val="00424909"/>
    <w:rsid w:val="0043418F"/>
    <w:rsid w:val="00441807"/>
    <w:rsid w:val="00470534"/>
    <w:rsid w:val="00475D15"/>
    <w:rsid w:val="004772BB"/>
    <w:rsid w:val="00480614"/>
    <w:rsid w:val="0048193C"/>
    <w:rsid w:val="004841BC"/>
    <w:rsid w:val="00493227"/>
    <w:rsid w:val="004D7AF6"/>
    <w:rsid w:val="004F2068"/>
    <w:rsid w:val="00525CBB"/>
    <w:rsid w:val="00526543"/>
    <w:rsid w:val="00537C4D"/>
    <w:rsid w:val="00553171"/>
    <w:rsid w:val="00567FA9"/>
    <w:rsid w:val="005A08BE"/>
    <w:rsid w:val="005B42FD"/>
    <w:rsid w:val="005C728F"/>
    <w:rsid w:val="005D726A"/>
    <w:rsid w:val="005F2F4A"/>
    <w:rsid w:val="006C6B36"/>
    <w:rsid w:val="0070607C"/>
    <w:rsid w:val="00715183"/>
    <w:rsid w:val="00736E49"/>
    <w:rsid w:val="0075352C"/>
    <w:rsid w:val="007953D4"/>
    <w:rsid w:val="007A67B5"/>
    <w:rsid w:val="007B1118"/>
    <w:rsid w:val="007B7AC0"/>
    <w:rsid w:val="007E2D3C"/>
    <w:rsid w:val="008012D5"/>
    <w:rsid w:val="00844A83"/>
    <w:rsid w:val="008627E5"/>
    <w:rsid w:val="008738EB"/>
    <w:rsid w:val="008A7949"/>
    <w:rsid w:val="008C3230"/>
    <w:rsid w:val="00947678"/>
    <w:rsid w:val="00953EBE"/>
    <w:rsid w:val="0096440F"/>
    <w:rsid w:val="00984DD7"/>
    <w:rsid w:val="00996C71"/>
    <w:rsid w:val="009B305E"/>
    <w:rsid w:val="009D66F5"/>
    <w:rsid w:val="00A5108D"/>
    <w:rsid w:val="00A81131"/>
    <w:rsid w:val="00A83487"/>
    <w:rsid w:val="00AA3768"/>
    <w:rsid w:val="00AD5F28"/>
    <w:rsid w:val="00AD7DF8"/>
    <w:rsid w:val="00AE0C8F"/>
    <w:rsid w:val="00AF4875"/>
    <w:rsid w:val="00AF53E0"/>
    <w:rsid w:val="00B01FEF"/>
    <w:rsid w:val="00B75112"/>
    <w:rsid w:val="00B83F53"/>
    <w:rsid w:val="00B85A22"/>
    <w:rsid w:val="00BC4847"/>
    <w:rsid w:val="00BE64FB"/>
    <w:rsid w:val="00C532E7"/>
    <w:rsid w:val="00C95682"/>
    <w:rsid w:val="00CF307C"/>
    <w:rsid w:val="00D7586C"/>
    <w:rsid w:val="00DB3A31"/>
    <w:rsid w:val="00E04855"/>
    <w:rsid w:val="00E257AB"/>
    <w:rsid w:val="00E315CB"/>
    <w:rsid w:val="00E60DF6"/>
    <w:rsid w:val="00E82D04"/>
    <w:rsid w:val="00E875E4"/>
    <w:rsid w:val="00F33C39"/>
    <w:rsid w:val="00F56AC5"/>
    <w:rsid w:val="00F6655A"/>
    <w:rsid w:val="00F93391"/>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AA3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umer@hcq.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mer@hcq.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cq.org.au/wp-content/uploads/2015/12/Consumer-Remuneration-Rates-Dec-2015.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ealth.qld.gov.au/pre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3" ma:contentTypeDescription="Create a new document." ma:contentTypeScope="" ma:versionID="7a0abe28d39aa2810b432909af117011">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e6e2ec4a12ea342dd4e1491f262b147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2.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70AF89-67E5-4355-B42C-671F9AEC3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8</cp:revision>
  <dcterms:created xsi:type="dcterms:W3CDTF">2021-06-16T01:54:00Z</dcterms:created>
  <dcterms:modified xsi:type="dcterms:W3CDTF">2021-06-16T02:00:00Z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