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FCF7" w14:textId="1DF65932" w:rsidR="007A67B5" w:rsidRDefault="004C2ECD" w:rsidP="00973BE2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>Consumer Representative Opportunit</w:t>
      </w:r>
      <w:r w:rsidR="00CC1FF5">
        <w:rPr>
          <w:sz w:val="36"/>
        </w:rPr>
        <w:t>ies</w:t>
      </w:r>
      <w:r>
        <w:rPr>
          <w:sz w:val="36"/>
        </w:rPr>
        <w:t xml:space="preserve">: </w:t>
      </w:r>
      <w:r w:rsidR="000D2AA4">
        <w:rPr>
          <w:sz w:val="36"/>
        </w:rPr>
        <w:t xml:space="preserve">Join the </w:t>
      </w:r>
      <w:r w:rsidR="00C4616B">
        <w:rPr>
          <w:sz w:val="36"/>
        </w:rPr>
        <w:t>Statewide Services</w:t>
      </w:r>
      <w:r w:rsidR="00973BE2">
        <w:rPr>
          <w:sz w:val="36"/>
        </w:rPr>
        <w:t>: Assessment and Review Panel</w:t>
      </w:r>
      <w:r w:rsidR="00CC1FF5">
        <w:rPr>
          <w:sz w:val="36"/>
        </w:rPr>
        <w:t xml:space="preserve"> and </w:t>
      </w:r>
      <w:r w:rsidR="00B078DE">
        <w:rPr>
          <w:sz w:val="36"/>
        </w:rPr>
        <w:t>Implementation W</w:t>
      </w:r>
      <w:r w:rsidR="00CC1FF5">
        <w:rPr>
          <w:sz w:val="36"/>
        </w:rPr>
        <w:t xml:space="preserve">orking </w:t>
      </w:r>
      <w:r w:rsidR="00B078DE">
        <w:rPr>
          <w:sz w:val="36"/>
        </w:rPr>
        <w:t>G</w:t>
      </w:r>
      <w:r w:rsidR="00CC1FF5">
        <w:rPr>
          <w:sz w:val="36"/>
        </w:rPr>
        <w:t xml:space="preserve">roup </w:t>
      </w:r>
    </w:p>
    <w:p w14:paraId="56C04FF1" w14:textId="050EBD1A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4C2ECD">
        <w:rPr>
          <w:rFonts w:asciiTheme="minorHAnsi" w:hAnsiTheme="minorHAnsi" w:cstheme="minorHAnsi"/>
          <w:color w:val="auto"/>
          <w:sz w:val="22"/>
        </w:rPr>
        <w:t>9am</w:t>
      </w:r>
      <w:r w:rsidR="007447F8">
        <w:rPr>
          <w:rFonts w:asciiTheme="minorHAnsi" w:hAnsiTheme="minorHAnsi" w:cstheme="minorHAnsi"/>
          <w:color w:val="auto"/>
          <w:sz w:val="22"/>
        </w:rPr>
        <w:t>,</w:t>
      </w:r>
      <w:r w:rsidR="004C2ECD">
        <w:rPr>
          <w:rFonts w:asciiTheme="minorHAnsi" w:hAnsiTheme="minorHAnsi" w:cstheme="minorHAnsi"/>
          <w:color w:val="auto"/>
          <w:sz w:val="22"/>
        </w:rPr>
        <w:t xml:space="preserve"> </w:t>
      </w:r>
      <w:r w:rsidR="0019397A">
        <w:rPr>
          <w:rFonts w:asciiTheme="minorHAnsi" w:hAnsiTheme="minorHAnsi" w:cstheme="minorHAnsi"/>
          <w:color w:val="auto"/>
          <w:sz w:val="22"/>
        </w:rPr>
        <w:t xml:space="preserve">Monday </w:t>
      </w:r>
      <w:r w:rsidR="005E7A83">
        <w:rPr>
          <w:rFonts w:asciiTheme="minorHAnsi" w:hAnsiTheme="minorHAnsi" w:cstheme="minorHAnsi"/>
          <w:color w:val="auto"/>
          <w:sz w:val="22"/>
        </w:rPr>
        <w:t>7 February 2022</w:t>
      </w:r>
    </w:p>
    <w:p w14:paraId="2AC7C3F1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</w:p>
    <w:p w14:paraId="095B9DBE" w14:textId="477941C9" w:rsidR="0043362A" w:rsidRDefault="00681C93" w:rsidP="0011708E">
      <w:pPr>
        <w:ind w:right="-755"/>
      </w:pPr>
      <w:r>
        <w:t xml:space="preserve">The Department of Health is providing </w:t>
      </w:r>
      <w:r w:rsidR="00D75B3A" w:rsidRPr="006E014D">
        <w:rPr>
          <w:b/>
          <w:bCs/>
        </w:rPr>
        <w:t xml:space="preserve">one </w:t>
      </w:r>
      <w:r w:rsidRPr="006E014D">
        <w:rPr>
          <w:b/>
          <w:bCs/>
        </w:rPr>
        <w:t>health consumer representative</w:t>
      </w:r>
      <w:r w:rsidR="00DC0A9C">
        <w:rPr>
          <w:b/>
          <w:bCs/>
        </w:rPr>
        <w:t>*</w:t>
      </w:r>
      <w:r>
        <w:t xml:space="preserve"> the opportunity to participate in </w:t>
      </w:r>
      <w:r w:rsidR="0043362A">
        <w:t>two</w:t>
      </w:r>
      <w:r w:rsidR="006931E5">
        <w:t xml:space="preserve"> </w:t>
      </w:r>
      <w:proofErr w:type="gramStart"/>
      <w:r w:rsidR="00482355">
        <w:t>separate</w:t>
      </w:r>
      <w:proofErr w:type="gramEnd"/>
      <w:r w:rsidR="00482355">
        <w:t xml:space="preserve">, but interrelated, </w:t>
      </w:r>
      <w:r w:rsidR="006931E5">
        <w:t xml:space="preserve">Queensland Health </w:t>
      </w:r>
      <w:r w:rsidR="007C63ED">
        <w:t xml:space="preserve">statewide service </w:t>
      </w:r>
      <w:r w:rsidR="00482355">
        <w:t>committees. These are:</w:t>
      </w:r>
    </w:p>
    <w:p w14:paraId="39F1D0DD" w14:textId="45A5596A" w:rsidR="00973BE2" w:rsidRPr="008C0D2E" w:rsidRDefault="0043362A" w:rsidP="0043362A">
      <w:pPr>
        <w:pStyle w:val="ListParagraph"/>
        <w:numPr>
          <w:ilvl w:val="0"/>
          <w:numId w:val="13"/>
        </w:numPr>
        <w:ind w:right="-755"/>
      </w:pPr>
      <w:r w:rsidRPr="008C0D2E">
        <w:t>T</w:t>
      </w:r>
      <w:r w:rsidR="00681C93" w:rsidRPr="008C0D2E">
        <w:t>he Statewide Services</w:t>
      </w:r>
      <w:r w:rsidR="00973BE2" w:rsidRPr="008C0D2E">
        <w:t>: Assessment and Review Panel</w:t>
      </w:r>
      <w:r w:rsidR="00063449" w:rsidRPr="008C0D2E">
        <w:t xml:space="preserve"> </w:t>
      </w:r>
      <w:r w:rsidR="00564928" w:rsidRPr="008C0D2E">
        <w:t>(ARP)</w:t>
      </w:r>
      <w:r w:rsidR="00801905">
        <w:t xml:space="preserve"> </w:t>
      </w:r>
      <w:r w:rsidR="007C63ED">
        <w:t>assess</w:t>
      </w:r>
      <w:r w:rsidR="00801905">
        <w:t>es</w:t>
      </w:r>
      <w:r w:rsidR="007C63ED">
        <w:t xml:space="preserve"> whether a service</w:t>
      </w:r>
      <w:r w:rsidR="00482355">
        <w:t xml:space="preserve"> should be</w:t>
      </w:r>
      <w:r w:rsidR="00962A52">
        <w:t>come a</w:t>
      </w:r>
      <w:r w:rsidR="00482355">
        <w:t xml:space="preserve"> statewide service</w:t>
      </w:r>
      <w:r w:rsidR="00801905">
        <w:t>, monitors</w:t>
      </w:r>
      <w:r w:rsidR="00203775">
        <w:t xml:space="preserve"> </w:t>
      </w:r>
      <w:r w:rsidR="00801905">
        <w:t>the</w:t>
      </w:r>
      <w:r w:rsidR="00203775">
        <w:t xml:space="preserve"> performance</w:t>
      </w:r>
      <w:r w:rsidR="00801905">
        <w:t xml:space="preserve"> of endorsed statewide services and provides advice to higher level committees</w:t>
      </w:r>
      <w:r w:rsidR="00203775">
        <w:t>.</w:t>
      </w:r>
    </w:p>
    <w:p w14:paraId="7D5A2640" w14:textId="0819DE6F" w:rsidR="0043362A" w:rsidRDefault="00564928" w:rsidP="0095612C">
      <w:pPr>
        <w:pStyle w:val="ListParagraph"/>
        <w:numPr>
          <w:ilvl w:val="0"/>
          <w:numId w:val="13"/>
        </w:numPr>
        <w:spacing w:after="240"/>
        <w:ind w:right="-755"/>
      </w:pPr>
      <w:r>
        <w:t>The Implementation Working Group (</w:t>
      </w:r>
      <w:r w:rsidR="0043362A">
        <w:t>IWG</w:t>
      </w:r>
      <w:r>
        <w:t>)</w:t>
      </w:r>
      <w:r w:rsidR="00203775">
        <w:t xml:space="preserve"> meets primarily</w:t>
      </w:r>
      <w:r w:rsidR="00203775" w:rsidRPr="00203775">
        <w:t xml:space="preserve"> </w:t>
      </w:r>
      <w:r w:rsidR="00203775">
        <w:t>to work through complex issues</w:t>
      </w:r>
      <w:r w:rsidR="00801905">
        <w:t xml:space="preserve"> associated with</w:t>
      </w:r>
      <w:r w:rsidR="00801905" w:rsidRPr="00801905">
        <w:t xml:space="preserve"> </w:t>
      </w:r>
      <w:r w:rsidR="00801905">
        <w:t>highly specialised services and statewide services.</w:t>
      </w:r>
    </w:p>
    <w:p w14:paraId="099DD8ED" w14:textId="2E61A7AE" w:rsidR="006931E5" w:rsidRDefault="00962A52" w:rsidP="00C84889">
      <w:pPr>
        <w:spacing w:after="240"/>
        <w:ind w:right="-755"/>
      </w:pPr>
      <w:r>
        <w:t>The lived experience of the consumer will provide a unique perspective to both committees and contribute to discussions to improve health outcomes and equitable access</w:t>
      </w:r>
      <w:r w:rsidR="006931E5">
        <w:t xml:space="preserve"> for</w:t>
      </w:r>
      <w:r>
        <w:t xml:space="preserve"> all</w:t>
      </w:r>
      <w:r w:rsidR="006931E5">
        <w:t xml:space="preserve"> Queenslanders</w:t>
      </w:r>
      <w:r>
        <w:t>.</w:t>
      </w:r>
    </w:p>
    <w:p w14:paraId="6852791B" w14:textId="177CDD11" w:rsidR="00631504" w:rsidRDefault="00DC0A9C" w:rsidP="00D97EAB">
      <w:pPr>
        <w:spacing w:after="240"/>
        <w:ind w:right="-755"/>
      </w:pPr>
      <w:r>
        <w:t>*</w:t>
      </w:r>
      <w:r w:rsidR="00631504">
        <w:t xml:space="preserve">It would be optimal to have one representative due to the </w:t>
      </w:r>
      <w:r w:rsidR="00631504" w:rsidRPr="009700E7">
        <w:t>associations</w:t>
      </w:r>
      <w:r w:rsidR="00631504">
        <w:t xml:space="preserve"> between the ARP and </w:t>
      </w:r>
      <w:proofErr w:type="gramStart"/>
      <w:r w:rsidR="00631504">
        <w:t>IWG;</w:t>
      </w:r>
      <w:proofErr w:type="gramEnd"/>
      <w:r w:rsidR="00631504">
        <w:t xml:space="preserve"> however, this not a mandatory requirement.</w:t>
      </w:r>
    </w:p>
    <w:p w14:paraId="61AFF975" w14:textId="7BF61782" w:rsidR="00670EFE" w:rsidRPr="00670EFE" w:rsidRDefault="00670EFE" w:rsidP="0011708E">
      <w:pPr>
        <w:ind w:right="-755"/>
        <w:rPr>
          <w:bCs/>
          <w:color w:val="9B1D54"/>
          <w:sz w:val="28"/>
          <w:szCs w:val="28"/>
        </w:rPr>
      </w:pPr>
      <w:r>
        <w:rPr>
          <w:rStyle w:val="Hyperlink"/>
          <w:bCs/>
          <w:color w:val="9B1D54"/>
          <w:sz w:val="28"/>
          <w:szCs w:val="28"/>
          <w:u w:val="none"/>
        </w:rPr>
        <w:t>Statewide Services</w:t>
      </w:r>
      <w:r w:rsidR="006464E6">
        <w:rPr>
          <w:rStyle w:val="Hyperlink"/>
          <w:bCs/>
          <w:color w:val="9B1D54"/>
          <w:sz w:val="28"/>
          <w:szCs w:val="28"/>
          <w:u w:val="none"/>
        </w:rPr>
        <w:t xml:space="preserve"> </w:t>
      </w:r>
    </w:p>
    <w:p w14:paraId="645CA1A4" w14:textId="2BAB0DE3" w:rsidR="004B3FC0" w:rsidRDefault="00E56F58">
      <w:pPr>
        <w:ind w:right="-755"/>
      </w:pPr>
      <w:r w:rsidRPr="008C0D2E">
        <w:t>The size and distribution of the Queensland population means that it is not possible for the full range of services to be provided within all Hospital and Health Services</w:t>
      </w:r>
      <w:r w:rsidR="0095612C" w:rsidRPr="008C0D2E">
        <w:t xml:space="preserve"> (HHS)</w:t>
      </w:r>
      <w:r w:rsidRPr="008C0D2E">
        <w:t xml:space="preserve"> in a safe and sustainable manner.  Statewide services can be broadly described as services that</w:t>
      </w:r>
      <w:r w:rsidR="0057677D">
        <w:t xml:space="preserve"> are delivered in low volume and at high cost, require a highly skilled workforce</w:t>
      </w:r>
      <w:r w:rsidR="00EE4127">
        <w:t>,</w:t>
      </w:r>
      <w:r w:rsidR="0057677D">
        <w:t xml:space="preserve"> and</w:t>
      </w:r>
      <w:r w:rsidR="00754B1F">
        <w:t xml:space="preserve"> need</w:t>
      </w:r>
      <w:r w:rsidR="0057677D">
        <w:t xml:space="preserve"> highly specialised equipment, support services or infrastructure.  The services </w:t>
      </w:r>
      <w:r w:rsidRPr="008C0D2E">
        <w:t>are delivered by one or two</w:t>
      </w:r>
      <w:r w:rsidR="0057677D">
        <w:t xml:space="preserve"> </w:t>
      </w:r>
      <w:r w:rsidRPr="008C0D2E">
        <w:t>Hospital and Health Services (HHSs)</w:t>
      </w:r>
      <w:r w:rsidR="0057677D">
        <w:t xml:space="preserve"> to all residents</w:t>
      </w:r>
      <w:r w:rsidRPr="008C0D2E">
        <w:t xml:space="preserve"> across the state</w:t>
      </w:r>
      <w:r w:rsidR="0057677D">
        <w:t xml:space="preserve">.   Each service is assessed by the Department of Health to ensure it meets agreed statewide criteria, is in the optimal location to meet patient need, has undergone a needs assessment and will be affordable, feasible, </w:t>
      </w:r>
      <w:proofErr w:type="gramStart"/>
      <w:r w:rsidR="0057677D">
        <w:t>safe</w:t>
      </w:r>
      <w:proofErr w:type="gramEnd"/>
      <w:r w:rsidR="0057677D">
        <w:t xml:space="preserve"> and sustainable.  An example </w:t>
      </w:r>
      <w:r w:rsidR="00935CAB">
        <w:t xml:space="preserve">is a transplantation service such as lung, kidney, </w:t>
      </w:r>
      <w:proofErr w:type="gramStart"/>
      <w:r w:rsidR="00935CAB">
        <w:t>heart</w:t>
      </w:r>
      <w:proofErr w:type="gramEnd"/>
      <w:r w:rsidR="00935CAB">
        <w:t xml:space="preserve"> or liver transplantation.</w:t>
      </w:r>
    </w:p>
    <w:p w14:paraId="3C5BE0AE" w14:textId="68A50A85" w:rsidR="0011708E" w:rsidRPr="00B023E4" w:rsidRDefault="00B023E4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D97EAB">
        <w:rPr>
          <w:color w:val="9B1D54"/>
          <w:sz w:val="28"/>
          <w:szCs w:val="28"/>
        </w:rPr>
        <w:t>Assessment and Review Panel (</w:t>
      </w:r>
      <w:r w:rsidR="00085B21" w:rsidRPr="00B023E4">
        <w:rPr>
          <w:rStyle w:val="Hyperlink"/>
          <w:bCs/>
          <w:color w:val="9B1D54"/>
          <w:sz w:val="28"/>
          <w:szCs w:val="28"/>
          <w:u w:val="none"/>
        </w:rPr>
        <w:t>ARP</w:t>
      </w:r>
      <w:r w:rsidRPr="00B023E4">
        <w:rPr>
          <w:rStyle w:val="Hyperlink"/>
          <w:bCs/>
          <w:color w:val="9B1D54"/>
          <w:sz w:val="28"/>
          <w:szCs w:val="28"/>
          <w:u w:val="none"/>
        </w:rPr>
        <w:t>)</w:t>
      </w:r>
      <w:r w:rsidR="00085B21" w:rsidRPr="00B023E4"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r w:rsidR="007A67B5" w:rsidRPr="00B023E4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277A3D6B" w14:textId="40A66F5A" w:rsidR="00085B21" w:rsidRPr="008C0D2E" w:rsidRDefault="0095612C" w:rsidP="00C84889">
      <w:r w:rsidRPr="008C0D2E">
        <w:t>The purpose of the ARP is to</w:t>
      </w:r>
      <w:r w:rsidR="00C23EFD">
        <w:t xml:space="preserve"> m</w:t>
      </w:r>
      <w:r w:rsidRPr="008C0D2E">
        <w:t xml:space="preserve">ake recommendations </w:t>
      </w:r>
      <w:r w:rsidR="00085B21" w:rsidRPr="008C0D2E">
        <w:t xml:space="preserve">to </w:t>
      </w:r>
      <w:r w:rsidR="00797030" w:rsidRPr="00797030">
        <w:t xml:space="preserve">System Management advisory Committee </w:t>
      </w:r>
      <w:r w:rsidR="00797030">
        <w:t>(</w:t>
      </w:r>
      <w:r w:rsidR="00085B21" w:rsidRPr="008C0D2E">
        <w:t>SMC</w:t>
      </w:r>
      <w:r w:rsidR="00797030">
        <w:t>)</w:t>
      </w:r>
      <w:r w:rsidR="00085B21" w:rsidRPr="008C0D2E">
        <w:t xml:space="preserve"> </w:t>
      </w:r>
      <w:r w:rsidRPr="008C0D2E">
        <w:t>to</w:t>
      </w:r>
      <w:r w:rsidR="00C23EFD">
        <w:t xml:space="preserve"> </w:t>
      </w:r>
      <w:r w:rsidRPr="008C0D2E">
        <w:t>commission a new statewide</w:t>
      </w:r>
      <w:r w:rsidR="00754B1F">
        <w:t xml:space="preserve"> service</w:t>
      </w:r>
      <w:r w:rsidR="00C23EFD">
        <w:t>,</w:t>
      </w:r>
      <w:r w:rsidRPr="008C0D2E">
        <w:t xml:space="preserve"> change an existing statewide service</w:t>
      </w:r>
      <w:r w:rsidR="00C23EFD">
        <w:t xml:space="preserve">, or </w:t>
      </w:r>
      <w:r w:rsidRPr="008C0D2E">
        <w:t xml:space="preserve">transition a service from statewide </w:t>
      </w:r>
      <w:r w:rsidR="00C23EFD">
        <w:t>status; m</w:t>
      </w:r>
      <w:r w:rsidRPr="008C0D2E">
        <w:t>onitor the annual performance of established statewide services</w:t>
      </w:r>
      <w:r w:rsidR="00C23EFD">
        <w:t>; e</w:t>
      </w:r>
      <w:r w:rsidR="00085B21" w:rsidRPr="008C0D2E">
        <w:t xml:space="preserve">scalate </w:t>
      </w:r>
      <w:r w:rsidR="00C23EFD">
        <w:t xml:space="preserve">identified </w:t>
      </w:r>
      <w:r w:rsidR="00085B21" w:rsidRPr="008C0D2E">
        <w:t xml:space="preserve">risk/s </w:t>
      </w:r>
      <w:bookmarkStart w:id="0" w:name="_Hlk71539327"/>
      <w:r w:rsidR="00085B21" w:rsidRPr="008C0D2E">
        <w:t>to patients or the service</w:t>
      </w:r>
      <w:r w:rsidR="00C23EFD">
        <w:t xml:space="preserve">; and </w:t>
      </w:r>
      <w:bookmarkEnd w:id="0"/>
      <w:r w:rsidR="00C23EFD">
        <w:t>m</w:t>
      </w:r>
      <w:r w:rsidR="00085B21" w:rsidRPr="008C0D2E">
        <w:t xml:space="preserve">ake </w:t>
      </w:r>
      <w:r w:rsidR="00C23EFD">
        <w:t xml:space="preserve">any </w:t>
      </w:r>
      <w:r w:rsidR="00085B21" w:rsidRPr="008C0D2E">
        <w:t xml:space="preserve">other strategic recommendations </w:t>
      </w:r>
      <w:r w:rsidR="00C23EFD">
        <w:t>to</w:t>
      </w:r>
      <w:r w:rsidR="00085B21" w:rsidRPr="008C0D2E">
        <w:t xml:space="preserve"> SMC.</w:t>
      </w:r>
    </w:p>
    <w:p w14:paraId="5A3E8C19" w14:textId="77777777" w:rsidR="00DF1572" w:rsidRDefault="00DF1572" w:rsidP="00512328">
      <w:pPr>
        <w:pStyle w:val="BodyText2Column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</w:p>
    <w:p w14:paraId="47C210B0" w14:textId="735D381C" w:rsidR="00512328" w:rsidRPr="008C0D2E" w:rsidRDefault="00512328" w:rsidP="00512328">
      <w:pPr>
        <w:pStyle w:val="BodyText2Column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lastRenderedPageBreak/>
        <w:t xml:space="preserve">Membership of the </w:t>
      </w:r>
      <w:r w:rsidR="0076376D"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ARP</w:t>
      </w: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 include</w:t>
      </w:r>
      <w:r w:rsidR="005E1131"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s</w:t>
      </w: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:</w:t>
      </w:r>
    </w:p>
    <w:p w14:paraId="4678EAD1" w14:textId="736A9892" w:rsidR="005E1131" w:rsidRPr="008C0D2E" w:rsidRDefault="00085B21" w:rsidP="00512328">
      <w:pPr>
        <w:pStyle w:val="BodyText2Column"/>
        <w:numPr>
          <w:ilvl w:val="0"/>
          <w:numId w:val="12"/>
        </w:numPr>
        <w:spacing w:before="0" w:after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Department of Health representatives</w:t>
      </w:r>
      <w:r w:rsidR="00C23EFD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 </w:t>
      </w:r>
    </w:p>
    <w:p w14:paraId="128626B7" w14:textId="10D38F47" w:rsidR="005E1131" w:rsidRPr="008C0D2E" w:rsidRDefault="00801905" w:rsidP="00C84889">
      <w:pPr>
        <w:pStyle w:val="BodyText2Column"/>
        <w:numPr>
          <w:ilvl w:val="0"/>
          <w:numId w:val="12"/>
        </w:numPr>
        <w:spacing w:before="0" w:after="0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M</w:t>
      </w: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etropolitan, </w:t>
      </w:r>
      <w:proofErr w:type="gramStart"/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regional</w:t>
      </w:r>
      <w:proofErr w:type="gramEnd"/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 and remote Hospital and Health Services (HHS)</w:t>
      </w:r>
      <w:r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 e</w:t>
      </w:r>
      <w:r w:rsidR="00085B21"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xecutives </w:t>
      </w:r>
      <w:r w:rsidR="00752F3E"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including health service planners</w:t>
      </w:r>
    </w:p>
    <w:p w14:paraId="0133E275" w14:textId="029FB9EE" w:rsidR="005E1131" w:rsidRPr="008C0D2E" w:rsidRDefault="005E1131" w:rsidP="00512328">
      <w:pPr>
        <w:pStyle w:val="BodyText2Column"/>
        <w:numPr>
          <w:ilvl w:val="0"/>
          <w:numId w:val="12"/>
        </w:numPr>
        <w:spacing w:before="0" w:after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Queensland Clinical Senate and Clinical Network</w:t>
      </w:r>
      <w:r w:rsidR="00801905" w:rsidRPr="00801905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 </w:t>
      </w:r>
      <w:r w:rsidR="00801905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representatives</w:t>
      </w:r>
    </w:p>
    <w:p w14:paraId="3FECDC92" w14:textId="2E079BA5" w:rsidR="00512328" w:rsidRDefault="00512328" w:rsidP="005D018B">
      <w:pPr>
        <w:pStyle w:val="BodyText2Column"/>
        <w:numPr>
          <w:ilvl w:val="0"/>
          <w:numId w:val="12"/>
        </w:numPr>
        <w:spacing w:before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Consumer representative</w:t>
      </w:r>
      <w:r w:rsidR="00B91130"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s</w:t>
      </w:r>
      <w:r w:rsidR="00801905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.</w:t>
      </w:r>
    </w:p>
    <w:p w14:paraId="6D963DE1" w14:textId="6298DD66" w:rsidR="003B51B0" w:rsidRPr="004A736D" w:rsidRDefault="00B023E4" w:rsidP="003B51B0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4A736D">
        <w:rPr>
          <w:rStyle w:val="Hyperlink"/>
          <w:bCs/>
          <w:color w:val="9B1D54"/>
          <w:sz w:val="28"/>
          <w:szCs w:val="28"/>
          <w:u w:val="none"/>
        </w:rPr>
        <w:t>Implementation Working Group (</w:t>
      </w:r>
      <w:r w:rsidR="003B51B0" w:rsidRPr="004A736D">
        <w:rPr>
          <w:rStyle w:val="Hyperlink"/>
          <w:bCs/>
          <w:color w:val="9B1D54"/>
          <w:sz w:val="28"/>
          <w:szCs w:val="28"/>
          <w:u w:val="none"/>
        </w:rPr>
        <w:t>IWG</w:t>
      </w:r>
      <w:r w:rsidR="004A736D" w:rsidRPr="004A736D">
        <w:rPr>
          <w:rStyle w:val="Hyperlink"/>
          <w:bCs/>
          <w:color w:val="9B1D54"/>
          <w:sz w:val="28"/>
          <w:szCs w:val="28"/>
          <w:u w:val="none"/>
        </w:rPr>
        <w:t>)</w:t>
      </w:r>
      <w:r w:rsidR="003B51B0" w:rsidRPr="004A736D">
        <w:rPr>
          <w:rStyle w:val="Hyperlink"/>
          <w:bCs/>
          <w:color w:val="9B1D54"/>
          <w:sz w:val="28"/>
          <w:szCs w:val="28"/>
          <w:u w:val="none"/>
        </w:rPr>
        <w:t xml:space="preserve"> Purpose</w:t>
      </w:r>
    </w:p>
    <w:p w14:paraId="00D8B8F2" w14:textId="7912FDA9" w:rsidR="00BE466E" w:rsidRDefault="00E71D14" w:rsidP="0011708E">
      <w:pPr>
        <w:ind w:right="-755"/>
      </w:pPr>
      <w:r w:rsidRPr="008C0D2E">
        <w:t>The</w:t>
      </w:r>
      <w:r w:rsidR="00035525" w:rsidRPr="00035525">
        <w:t xml:space="preserve"> Implementation Working Group</w:t>
      </w:r>
      <w:r w:rsidR="00965B3E" w:rsidRPr="008C0D2E">
        <w:t xml:space="preserve"> </w:t>
      </w:r>
      <w:r w:rsidR="00035525">
        <w:t>(</w:t>
      </w:r>
      <w:r w:rsidR="00965B3E" w:rsidRPr="008C0D2E">
        <w:t>IWG</w:t>
      </w:r>
      <w:r w:rsidR="00035525">
        <w:t xml:space="preserve">) </w:t>
      </w:r>
      <w:r w:rsidR="00965B3E" w:rsidRPr="008C0D2E">
        <w:t xml:space="preserve">was formed at the recommendation of the Statewide Services Advisory Committee (SSAC), a time-limited sub-committee of </w:t>
      </w:r>
      <w:r w:rsidR="00035525" w:rsidRPr="00035525">
        <w:t xml:space="preserve">System Management advisory Committee </w:t>
      </w:r>
      <w:r w:rsidR="00035525">
        <w:t>(</w:t>
      </w:r>
      <w:r w:rsidR="00965B3E" w:rsidRPr="008C0D2E">
        <w:t>SMC</w:t>
      </w:r>
      <w:r w:rsidR="00035525">
        <w:t>)</w:t>
      </w:r>
      <w:r w:rsidR="00965B3E" w:rsidRPr="008C0D2E">
        <w:t xml:space="preserve"> which met from September 2020 to January 2021.  </w:t>
      </w:r>
    </w:p>
    <w:p w14:paraId="396DFF9B" w14:textId="76FB55B1" w:rsidR="00BE466E" w:rsidRPr="00C84889" w:rsidRDefault="00BE466E" w:rsidP="0011708E">
      <w:pPr>
        <w:ind w:right="-755"/>
        <w:rPr>
          <w:sz w:val="28"/>
          <w:szCs w:val="28"/>
        </w:rPr>
      </w:pPr>
      <w:r w:rsidRPr="00C84889">
        <w:rPr>
          <w:sz w:val="28"/>
          <w:szCs w:val="28"/>
        </w:rPr>
        <w:t xml:space="preserve">Purpose </w:t>
      </w:r>
    </w:p>
    <w:p w14:paraId="0A11A8FE" w14:textId="12FE1B67" w:rsidR="00965B3E" w:rsidRPr="008C0D2E" w:rsidRDefault="00965B3E" w:rsidP="0011708E">
      <w:pPr>
        <w:ind w:right="-755"/>
      </w:pPr>
      <w:r w:rsidRPr="008C0D2E">
        <w:t xml:space="preserve">The purpose of the IWG </w:t>
      </w:r>
      <w:r w:rsidR="00E71D14" w:rsidRPr="008C0D2E">
        <w:t xml:space="preserve">is </w:t>
      </w:r>
      <w:r w:rsidR="0034285D" w:rsidRPr="008C0D2E">
        <w:t xml:space="preserve">to finalise </w:t>
      </w:r>
      <w:r w:rsidRPr="008C0D2E">
        <w:t xml:space="preserve">the </w:t>
      </w:r>
      <w:r w:rsidR="0034285D" w:rsidRPr="008C0D2E">
        <w:t>recommendations for statewide services proposed by</w:t>
      </w:r>
      <w:r w:rsidRPr="008C0D2E">
        <w:t xml:space="preserve"> SSAC in its final report</w:t>
      </w:r>
      <w:r w:rsidR="0034285D" w:rsidRPr="008C0D2E">
        <w:t xml:space="preserve">.  In its work to date, the IWG has made </w:t>
      </w:r>
      <w:proofErr w:type="gramStart"/>
      <w:r w:rsidR="0034285D" w:rsidRPr="008C0D2E">
        <w:t>a number of</w:t>
      </w:r>
      <w:proofErr w:type="gramEnd"/>
      <w:r w:rsidR="0034285D" w:rsidRPr="008C0D2E">
        <w:t xml:space="preserve"> recommendations which </w:t>
      </w:r>
      <w:r w:rsidR="008A3696" w:rsidRPr="008C0D2E">
        <w:t>have been</w:t>
      </w:r>
      <w:r w:rsidR="0034285D" w:rsidRPr="008C0D2E">
        <w:t xml:space="preserve"> endorsed by SMC</w:t>
      </w:r>
      <w:r w:rsidR="008A3696" w:rsidRPr="008C0D2E">
        <w:t xml:space="preserve"> a</w:t>
      </w:r>
      <w:r w:rsidRPr="008C0D2E">
        <w:t xml:space="preserve">nd </w:t>
      </w:r>
      <w:r w:rsidR="008A3696" w:rsidRPr="008C0D2E">
        <w:t xml:space="preserve">have been actioned.  These </w:t>
      </w:r>
      <w:r w:rsidRPr="008C0D2E">
        <w:t xml:space="preserve">include the development of the </w:t>
      </w:r>
      <w:r w:rsidRPr="00C84889">
        <w:t>Statewide Services Policy</w:t>
      </w:r>
      <w:r w:rsidRPr="008C0D2E">
        <w:t xml:space="preserve"> </w:t>
      </w:r>
      <w:r w:rsidRPr="00C84889">
        <w:t>and</w:t>
      </w:r>
      <w:r w:rsidR="008A3696" w:rsidRPr="00C84889">
        <w:t xml:space="preserve"> </w:t>
      </w:r>
      <w:r w:rsidRPr="00C84889">
        <w:t>Implementation Standard</w:t>
      </w:r>
      <w:r w:rsidRPr="00C84889">
        <w:rPr>
          <w:b/>
          <w:bCs/>
        </w:rPr>
        <w:t xml:space="preserve"> </w:t>
      </w:r>
      <w:r w:rsidRPr="008C0D2E">
        <w:t xml:space="preserve">and three new </w:t>
      </w:r>
      <w:r w:rsidRPr="00C84889">
        <w:t>Processes</w:t>
      </w:r>
      <w:r w:rsidRPr="008C0D2E">
        <w:t xml:space="preserve"> to support the Policy and Standard.</w:t>
      </w:r>
    </w:p>
    <w:p w14:paraId="67CAE3E9" w14:textId="4C309018" w:rsidR="003B51B0" w:rsidRPr="008C0D2E" w:rsidRDefault="0034285D" w:rsidP="00965B3E">
      <w:pPr>
        <w:ind w:right="-755"/>
      </w:pPr>
      <w:r w:rsidRPr="008C0D2E">
        <w:t xml:space="preserve">The </w:t>
      </w:r>
      <w:r w:rsidR="00965B3E" w:rsidRPr="008C0D2E">
        <w:t>IWG</w:t>
      </w:r>
      <w:r w:rsidRPr="008C0D2E">
        <w:t xml:space="preserve"> </w:t>
      </w:r>
      <w:r w:rsidR="00EE4127">
        <w:t>is currently</w:t>
      </w:r>
      <w:r w:rsidR="00965B3E" w:rsidRPr="008C0D2E">
        <w:t xml:space="preserve"> </w:t>
      </w:r>
      <w:r w:rsidR="0076376D" w:rsidRPr="008C0D2E">
        <w:t>work</w:t>
      </w:r>
      <w:r w:rsidR="00EE4127">
        <w:t>ing</w:t>
      </w:r>
      <w:r w:rsidR="0076376D" w:rsidRPr="008C0D2E">
        <w:t xml:space="preserve"> on</w:t>
      </w:r>
      <w:r w:rsidRPr="008C0D2E">
        <w:t xml:space="preserve"> </w:t>
      </w:r>
      <w:r w:rsidR="00754B1F">
        <w:t xml:space="preserve">a </w:t>
      </w:r>
      <w:r w:rsidRPr="008C0D2E">
        <w:t xml:space="preserve">definition for ‘highly specialised </w:t>
      </w:r>
      <w:proofErr w:type="gramStart"/>
      <w:r w:rsidRPr="008C0D2E">
        <w:t>services’</w:t>
      </w:r>
      <w:proofErr w:type="gramEnd"/>
      <w:r w:rsidR="00492FE9">
        <w:t xml:space="preserve">.  These are </w:t>
      </w:r>
      <w:r w:rsidR="00965B3E" w:rsidRPr="008C0D2E">
        <w:t>services which do not meet the statewide service assessment criteria</w:t>
      </w:r>
      <w:r w:rsidR="00492FE9">
        <w:t>, but still need oversight by the Department of Health</w:t>
      </w:r>
      <w:r w:rsidR="00965B3E" w:rsidRPr="008C0D2E">
        <w:t xml:space="preserve"> </w:t>
      </w:r>
      <w:r w:rsidR="00492FE9">
        <w:t>to</w:t>
      </w:r>
      <w:r w:rsidRPr="008C0D2E">
        <w:t xml:space="preserve"> </w:t>
      </w:r>
      <w:r w:rsidR="00492FE9">
        <w:t>ensure safety and quality</w:t>
      </w:r>
      <w:r w:rsidR="00EE4127">
        <w:t>,</w:t>
      </w:r>
      <w:r w:rsidR="00492FE9">
        <w:t xml:space="preserve"> and equitable access for patients, particularly those who live outside the </w:t>
      </w:r>
      <w:r w:rsidR="0092316E">
        <w:t>Hospital and Health Service area</w:t>
      </w:r>
      <w:r w:rsidR="00492FE9">
        <w:t xml:space="preserve"> where the service is provided.</w:t>
      </w:r>
      <w:r w:rsidR="00254C9E">
        <w:t xml:space="preserve"> </w:t>
      </w:r>
      <w:r w:rsidRPr="008C0D2E">
        <w:t xml:space="preserve"> </w:t>
      </w:r>
      <w:r w:rsidR="00965B3E" w:rsidRPr="008C0D2E">
        <w:t xml:space="preserve"> </w:t>
      </w:r>
    </w:p>
    <w:p w14:paraId="73FC8DC5" w14:textId="58500F71" w:rsidR="0076376D" w:rsidRPr="008C0D2E" w:rsidRDefault="0076376D" w:rsidP="0076376D">
      <w:pPr>
        <w:pStyle w:val="BodyText2Column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Membership of the IWG includes:</w:t>
      </w:r>
    </w:p>
    <w:p w14:paraId="20277AA7" w14:textId="28143138" w:rsidR="0076376D" w:rsidRPr="008C0D2E" w:rsidRDefault="0076376D" w:rsidP="00C84889">
      <w:pPr>
        <w:pStyle w:val="BodyText2Column"/>
        <w:numPr>
          <w:ilvl w:val="0"/>
          <w:numId w:val="12"/>
        </w:numPr>
        <w:spacing w:before="0" w:after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Department of Health representatives </w:t>
      </w:r>
    </w:p>
    <w:p w14:paraId="7C794D57" w14:textId="2AE436FA" w:rsidR="0076376D" w:rsidRPr="008C0D2E" w:rsidRDefault="0076376D" w:rsidP="0076376D">
      <w:pPr>
        <w:pStyle w:val="BodyText2Column"/>
        <w:numPr>
          <w:ilvl w:val="0"/>
          <w:numId w:val="12"/>
        </w:numPr>
        <w:spacing w:before="0" w:after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HHS executive directors including health service planners</w:t>
      </w:r>
    </w:p>
    <w:p w14:paraId="361BD293" w14:textId="4D37A57F" w:rsidR="0076376D" w:rsidRPr="008C0D2E" w:rsidRDefault="0076376D" w:rsidP="0076376D">
      <w:pPr>
        <w:pStyle w:val="BodyText2Column"/>
        <w:numPr>
          <w:ilvl w:val="0"/>
          <w:numId w:val="12"/>
        </w:numPr>
        <w:spacing w:before="0" w:after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Clinical representatives</w:t>
      </w:r>
    </w:p>
    <w:p w14:paraId="79990A7A" w14:textId="29B106B0" w:rsidR="00254C9E" w:rsidRPr="00C849C3" w:rsidRDefault="0076376D" w:rsidP="00C849C3">
      <w:pPr>
        <w:pStyle w:val="BodyText2Column"/>
        <w:numPr>
          <w:ilvl w:val="0"/>
          <w:numId w:val="12"/>
        </w:numPr>
        <w:spacing w:before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8C0D2E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Consumer representative</w:t>
      </w:r>
      <w:r w:rsidR="00754B1F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s</w:t>
      </w:r>
    </w:p>
    <w:p w14:paraId="0A0030FF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5912BA02" w14:textId="075A6382" w:rsidR="007A67B5" w:rsidRPr="008C0D2E" w:rsidRDefault="007A67B5" w:rsidP="007A67B5">
      <w:pPr>
        <w:ind w:right="-755"/>
        <w:rPr>
          <w:rStyle w:val="Hyperlink"/>
          <w:color w:val="auto"/>
          <w:u w:val="none"/>
        </w:rPr>
      </w:pPr>
      <w:r w:rsidRPr="008C0D2E">
        <w:t xml:space="preserve">The role of the successful applicant will be to attend all </w:t>
      </w:r>
      <w:r w:rsidR="006405D1" w:rsidRPr="008C0D2E">
        <w:t>ARP and</w:t>
      </w:r>
      <w:r w:rsidR="006552E1">
        <w:t xml:space="preserve">/or </w:t>
      </w:r>
      <w:r w:rsidR="006405D1" w:rsidRPr="008C0D2E">
        <w:t xml:space="preserve">IWG </w:t>
      </w:r>
      <w:r w:rsidRPr="008C0D2E">
        <w:t>meetings</w:t>
      </w:r>
      <w:r w:rsidR="005E1131" w:rsidRPr="008C0D2E">
        <w:t xml:space="preserve"> (</w:t>
      </w:r>
      <w:r w:rsidR="006405D1" w:rsidRPr="008C0D2E">
        <w:t xml:space="preserve">this may </w:t>
      </w:r>
      <w:r w:rsidR="005E1131" w:rsidRPr="008C0D2E">
        <w:t>includ</w:t>
      </w:r>
      <w:r w:rsidR="006405D1" w:rsidRPr="008C0D2E">
        <w:t>e pre-</w:t>
      </w:r>
      <w:r w:rsidR="005E1131" w:rsidRPr="008C0D2E">
        <w:t xml:space="preserve">meetings </w:t>
      </w:r>
      <w:r w:rsidR="006405D1" w:rsidRPr="008C0D2E">
        <w:t>as required</w:t>
      </w:r>
      <w:r w:rsidR="005E1131" w:rsidRPr="008C0D2E">
        <w:t>)</w:t>
      </w:r>
      <w:r w:rsidR="006405D1" w:rsidRPr="008C0D2E">
        <w:t>,</w:t>
      </w:r>
      <w:r w:rsidRPr="008C0D2E">
        <w:t xml:space="preserve"> and to actively participate in all activities such as pre-meeting reading, discussions, provision of feedback and advice</w:t>
      </w:r>
      <w:r w:rsidR="00DE19E4" w:rsidRPr="008C0D2E">
        <w:t>, including on out-of-session matters</w:t>
      </w:r>
      <w:r w:rsidRPr="008C0D2E">
        <w:t xml:space="preserve">. </w:t>
      </w:r>
    </w:p>
    <w:p w14:paraId="3E76BEC9" w14:textId="77777777" w:rsidR="007A67B5" w:rsidRPr="008C0D2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8C0D2E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74629DE0" w14:textId="52A8ED05" w:rsidR="00AF372D" w:rsidRDefault="00AF372D" w:rsidP="00AF372D">
      <w:pPr>
        <w:spacing w:after="0" w:line="240" w:lineRule="auto"/>
      </w:pPr>
      <w:r w:rsidRPr="008C0D2E">
        <w:t>The opportunities would greatly benefit from the participation of consumer and</w:t>
      </w:r>
      <w:r w:rsidR="005E1131" w:rsidRPr="008C0D2E">
        <w:t xml:space="preserve">/or </w:t>
      </w:r>
      <w:r w:rsidRPr="008C0D2E">
        <w:t xml:space="preserve">carer </w:t>
      </w:r>
      <w:r w:rsidR="008C0D2E">
        <w:t>r</w:t>
      </w:r>
      <w:r w:rsidRPr="008C0D2E">
        <w:t>epresentatives</w:t>
      </w:r>
      <w:r w:rsidR="005E1131" w:rsidRPr="008C0D2E">
        <w:t xml:space="preserve"> who</w:t>
      </w:r>
      <w:r w:rsidRPr="008C0D2E">
        <w:t xml:space="preserve">: </w:t>
      </w:r>
    </w:p>
    <w:p w14:paraId="3599CBAF" w14:textId="77777777" w:rsidR="00EE4127" w:rsidRPr="008C0D2E" w:rsidRDefault="00EE4127" w:rsidP="00AF372D">
      <w:pPr>
        <w:spacing w:after="0" w:line="240" w:lineRule="auto"/>
      </w:pPr>
    </w:p>
    <w:p w14:paraId="44CAE79C" w14:textId="31A83656" w:rsidR="007C2835" w:rsidRPr="008C0D2E" w:rsidRDefault="007C2835" w:rsidP="00AF372D">
      <w:pPr>
        <w:pStyle w:val="ListParagraph"/>
        <w:numPr>
          <w:ilvl w:val="0"/>
          <w:numId w:val="14"/>
        </w:numPr>
        <w:ind w:right="-755"/>
      </w:pPr>
      <w:r w:rsidRPr="008C0D2E">
        <w:t xml:space="preserve">Have at </w:t>
      </w:r>
      <w:r w:rsidR="00AF372D" w:rsidRPr="008C0D2E">
        <w:t xml:space="preserve">least 6 -12 months </w:t>
      </w:r>
      <w:r w:rsidRPr="008C0D2E">
        <w:t xml:space="preserve">consumer representative </w:t>
      </w:r>
      <w:r w:rsidR="00AF372D" w:rsidRPr="008C0D2E">
        <w:t xml:space="preserve">committee experience, either at the Hospital and Health Service, or </w:t>
      </w:r>
      <w:r w:rsidR="00754B1F">
        <w:t>s</w:t>
      </w:r>
      <w:r w:rsidR="00AF372D" w:rsidRPr="008C0D2E">
        <w:t>tatewide level</w:t>
      </w:r>
      <w:r w:rsidR="00BD53ED" w:rsidRPr="008C0D2E">
        <w:t xml:space="preserve">, </w:t>
      </w:r>
      <w:proofErr w:type="gramStart"/>
      <w:r w:rsidR="00BD53ED" w:rsidRPr="008C0D2E">
        <w:t>and;</w:t>
      </w:r>
      <w:proofErr w:type="gramEnd"/>
      <w:r w:rsidR="00AF372D" w:rsidRPr="008C0D2E">
        <w:t xml:space="preserve"> </w:t>
      </w:r>
    </w:p>
    <w:p w14:paraId="064F9EED" w14:textId="08830856" w:rsidR="00AF372D" w:rsidRPr="008C0D2E" w:rsidRDefault="007C2835" w:rsidP="00AF372D">
      <w:pPr>
        <w:pStyle w:val="ListParagraph"/>
        <w:numPr>
          <w:ilvl w:val="0"/>
          <w:numId w:val="14"/>
        </w:numPr>
        <w:ind w:right="-755"/>
      </w:pPr>
      <w:r w:rsidRPr="008C0D2E">
        <w:lastRenderedPageBreak/>
        <w:t>Have</w:t>
      </w:r>
      <w:r w:rsidR="00AF372D" w:rsidRPr="008C0D2E">
        <w:t xml:space="preserve"> a lived experience of accessing Queensland’s statewide services </w:t>
      </w:r>
      <w:r w:rsidRPr="008C0D2E">
        <w:t>OR</w:t>
      </w:r>
      <w:r w:rsidR="00AF372D" w:rsidRPr="008C0D2E">
        <w:t xml:space="preserve"> caring for someone </w:t>
      </w:r>
      <w:r w:rsidRPr="008C0D2E">
        <w:t>with a lived experience of accessing Queensland’s statewide services</w:t>
      </w:r>
      <w:r w:rsidR="00BD53ED" w:rsidRPr="008C0D2E">
        <w:t xml:space="preserve">, </w:t>
      </w:r>
      <w:proofErr w:type="gramStart"/>
      <w:r w:rsidR="00BD53ED" w:rsidRPr="008C0D2E">
        <w:t>and;</w:t>
      </w:r>
      <w:proofErr w:type="gramEnd"/>
    </w:p>
    <w:p w14:paraId="04776B78" w14:textId="25E37E1F" w:rsidR="00AF372D" w:rsidRPr="008C0D2E" w:rsidRDefault="00AF372D" w:rsidP="005A08BE">
      <w:pPr>
        <w:pStyle w:val="ListParagraph"/>
        <w:numPr>
          <w:ilvl w:val="0"/>
          <w:numId w:val="15"/>
        </w:numPr>
        <w:ind w:right="-755"/>
      </w:pPr>
      <w:r w:rsidRPr="008C0D2E">
        <w:rPr>
          <w:rFonts w:eastAsia="Times New Roman" w:cs="Times New Roman"/>
        </w:rPr>
        <w:t>Ha</w:t>
      </w:r>
      <w:r w:rsidR="005E1131" w:rsidRPr="008C0D2E">
        <w:rPr>
          <w:rFonts w:eastAsia="Times New Roman" w:cs="Times New Roman"/>
        </w:rPr>
        <w:t>ve</w:t>
      </w:r>
      <w:r w:rsidRPr="008C0D2E">
        <w:rPr>
          <w:rFonts w:eastAsia="Times New Roman" w:cs="Times New Roman"/>
        </w:rPr>
        <w:t xml:space="preserve"> a good understanding of the Queensland Health system</w:t>
      </w:r>
      <w:r w:rsidR="00BD53ED" w:rsidRPr="008C0D2E">
        <w:rPr>
          <w:rFonts w:eastAsia="Times New Roman" w:cs="Times New Roman"/>
        </w:rPr>
        <w:t xml:space="preserve">, </w:t>
      </w:r>
      <w:proofErr w:type="gramStart"/>
      <w:r w:rsidR="00BD53ED" w:rsidRPr="008C0D2E">
        <w:rPr>
          <w:rFonts w:eastAsia="Times New Roman" w:cs="Times New Roman"/>
        </w:rPr>
        <w:t>and;</w:t>
      </w:r>
      <w:proofErr w:type="gramEnd"/>
    </w:p>
    <w:p w14:paraId="1FE9D7DE" w14:textId="4B3CF2B3" w:rsidR="000F75ED" w:rsidRPr="005D018B" w:rsidRDefault="0076376D" w:rsidP="005D018B">
      <w:pPr>
        <w:pStyle w:val="BodyText2Column"/>
        <w:numPr>
          <w:ilvl w:val="0"/>
          <w:numId w:val="12"/>
        </w:numPr>
        <w:spacing w:before="0"/>
        <w:ind w:left="714" w:hanging="357"/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</w:pPr>
      <w:r w:rsidRPr="005D018B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Are </w:t>
      </w:r>
      <w:r w:rsidR="006405D1" w:rsidRPr="005D018B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 xml:space="preserve">resident </w:t>
      </w:r>
      <w:r w:rsidRPr="005D018B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in a rural or remote area of Queensland</w:t>
      </w:r>
      <w:r w:rsidR="00585F48" w:rsidRPr="005D018B">
        <w:rPr>
          <w:rFonts w:asciiTheme="minorHAnsi" w:hAnsiTheme="minorHAnsi"/>
          <w:bCs/>
          <w:color w:val="auto"/>
          <w:kern w:val="0"/>
          <w:sz w:val="22"/>
          <w:szCs w:val="22"/>
          <w:lang w:val="en-US"/>
          <w14:numSpacing w14:val="default"/>
        </w:rPr>
        <w:t>.</w:t>
      </w:r>
    </w:p>
    <w:p w14:paraId="7C4927B3" w14:textId="77777777" w:rsidR="007A67B5" w:rsidRPr="008C0D2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8C0D2E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3D7A7665" w14:textId="711D8C5B" w:rsidR="00512328" w:rsidRPr="008C0D2E" w:rsidRDefault="008A3696" w:rsidP="003B51B0">
      <w:pPr>
        <w:autoSpaceDE w:val="0"/>
        <w:autoSpaceDN w:val="0"/>
        <w:adjustRightInd w:val="0"/>
        <w:spacing w:after="120" w:line="240" w:lineRule="auto"/>
        <w:rPr>
          <w:bCs/>
        </w:rPr>
      </w:pPr>
      <w:r w:rsidRPr="008C0D2E">
        <w:rPr>
          <w:bCs/>
        </w:rPr>
        <w:t xml:space="preserve">The </w:t>
      </w:r>
      <w:r w:rsidR="0056104B" w:rsidRPr="0056104B">
        <w:rPr>
          <w:bCs/>
        </w:rPr>
        <w:t xml:space="preserve">Assessment and Review Panel </w:t>
      </w:r>
      <w:r w:rsidR="003D436A">
        <w:rPr>
          <w:bCs/>
        </w:rPr>
        <w:t>(</w:t>
      </w:r>
      <w:r w:rsidRPr="008C0D2E">
        <w:rPr>
          <w:bCs/>
        </w:rPr>
        <w:t>ARP</w:t>
      </w:r>
      <w:r w:rsidR="003D436A">
        <w:rPr>
          <w:bCs/>
        </w:rPr>
        <w:t>)</w:t>
      </w:r>
      <w:r w:rsidRPr="008C0D2E">
        <w:rPr>
          <w:bCs/>
        </w:rPr>
        <w:t xml:space="preserve"> </w:t>
      </w:r>
      <w:r w:rsidR="003B51B0" w:rsidRPr="008C0D2E">
        <w:rPr>
          <w:bCs/>
        </w:rPr>
        <w:t xml:space="preserve">will meet three times a year (March, July, November), unless otherwise required and/or to escalate risk.  </w:t>
      </w:r>
    </w:p>
    <w:p w14:paraId="1A5D2AAB" w14:textId="2D88324E" w:rsidR="003B51B0" w:rsidRPr="008C0D2E" w:rsidRDefault="0056104B" w:rsidP="003B51B0">
      <w:pPr>
        <w:autoSpaceDE w:val="0"/>
        <w:autoSpaceDN w:val="0"/>
        <w:adjustRightInd w:val="0"/>
        <w:spacing w:after="120" w:line="240" w:lineRule="auto"/>
        <w:rPr>
          <w:bCs/>
        </w:rPr>
      </w:pPr>
      <w:r w:rsidRPr="0056104B">
        <w:rPr>
          <w:bCs/>
        </w:rPr>
        <w:t xml:space="preserve">Implementation Working Group </w:t>
      </w:r>
      <w:r>
        <w:rPr>
          <w:bCs/>
        </w:rPr>
        <w:t>(</w:t>
      </w:r>
      <w:r w:rsidR="003B51B0" w:rsidRPr="008C0D2E">
        <w:rPr>
          <w:bCs/>
        </w:rPr>
        <w:t>IWG</w:t>
      </w:r>
      <w:r>
        <w:rPr>
          <w:bCs/>
        </w:rPr>
        <w:t>)</w:t>
      </w:r>
      <w:r w:rsidR="003B51B0" w:rsidRPr="008C0D2E">
        <w:rPr>
          <w:bCs/>
        </w:rPr>
        <w:t xml:space="preserve"> meetings are scheduled approximately every 6 weeks</w:t>
      </w:r>
      <w:r w:rsidR="008A2942" w:rsidRPr="008C0D2E">
        <w:rPr>
          <w:bCs/>
        </w:rPr>
        <w:t xml:space="preserve"> from February to December</w:t>
      </w:r>
      <w:r w:rsidR="003B51B0" w:rsidRPr="008C0D2E">
        <w:rPr>
          <w:bCs/>
        </w:rPr>
        <w:t>.</w:t>
      </w:r>
    </w:p>
    <w:p w14:paraId="743A00C9" w14:textId="337F7A71" w:rsidR="005D726A" w:rsidRPr="00512328" w:rsidRDefault="00512328" w:rsidP="007A67B5">
      <w:pPr>
        <w:autoSpaceDE w:val="0"/>
        <w:autoSpaceDN w:val="0"/>
        <w:adjustRightInd w:val="0"/>
        <w:spacing w:after="120" w:line="240" w:lineRule="auto"/>
        <w:rPr>
          <w:bCs/>
        </w:rPr>
      </w:pPr>
      <w:r w:rsidRPr="008C0D2E">
        <w:rPr>
          <w:bCs/>
        </w:rPr>
        <w:t xml:space="preserve">Meetings will be held </w:t>
      </w:r>
      <w:r w:rsidR="00C418D7" w:rsidRPr="008C0D2E">
        <w:rPr>
          <w:bCs/>
        </w:rPr>
        <w:t xml:space="preserve">via </w:t>
      </w:r>
      <w:r w:rsidRPr="008C0D2E">
        <w:rPr>
          <w:bCs/>
        </w:rPr>
        <w:t>Microsoft Teams for participants to attend remotely.</w:t>
      </w:r>
    </w:p>
    <w:p w14:paraId="703D1AB9" w14:textId="4254BABE" w:rsidR="007A67B5" w:rsidRPr="00996C71" w:rsidRDefault="007A67B5" w:rsidP="00C84889">
      <w:pPr>
        <w:autoSpaceDE w:val="0"/>
        <w:autoSpaceDN w:val="0"/>
        <w:adjustRightInd w:val="0"/>
        <w:spacing w:before="240"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5824DD62" w14:textId="6576CE1D" w:rsidR="005D726A" w:rsidRDefault="007A67B5" w:rsidP="007A67B5">
      <w:r w:rsidRPr="00DE276A">
        <w:t xml:space="preserve">Consumers will be remunerated for their time in line with </w:t>
      </w:r>
      <w:hyperlink r:id="rId10" w:history="1">
        <w:r w:rsidRPr="00671551">
          <w:rPr>
            <w:rStyle w:val="Hyperlink"/>
          </w:rPr>
          <w:t>Health Consumers Queensland’s remuneration position statement</w:t>
        </w:r>
      </w:hyperlink>
      <w:r w:rsidRPr="00DE276A">
        <w:t xml:space="preserve">. </w:t>
      </w:r>
      <w:r>
        <w:t>Parking and travel expenses will be covered</w:t>
      </w:r>
      <w:r w:rsidR="00512328">
        <w:t xml:space="preserve"> (Brisbane only) if participants are requested to attend in person</w:t>
      </w:r>
      <w:r>
        <w:t xml:space="preserve">. </w:t>
      </w:r>
    </w:p>
    <w:p w14:paraId="27C79D31" w14:textId="5C6F3654" w:rsidR="00D41CEF" w:rsidRDefault="003B51B0" w:rsidP="007A67B5">
      <w:r w:rsidRPr="008C0D2E">
        <w:t>T</w:t>
      </w:r>
      <w:r w:rsidR="00D41CEF" w:rsidRPr="008C0D2E">
        <w:t>he successful consumer</w:t>
      </w:r>
      <w:r w:rsidR="007B248A" w:rsidRPr="008C0D2E">
        <w:t xml:space="preserve"> will be provide</w:t>
      </w:r>
      <w:r w:rsidRPr="008C0D2E">
        <w:t>d</w:t>
      </w:r>
      <w:r w:rsidR="007B248A" w:rsidRPr="008C0D2E">
        <w:t xml:space="preserve"> with an orientation </w:t>
      </w:r>
      <w:r w:rsidRPr="008C0D2E">
        <w:t xml:space="preserve">session with the existing consumer representative </w:t>
      </w:r>
      <w:r w:rsidR="007B248A" w:rsidRPr="008C0D2E">
        <w:t xml:space="preserve">and </w:t>
      </w:r>
      <w:r w:rsidR="00383187" w:rsidRPr="008C0D2E">
        <w:t>supported with</w:t>
      </w:r>
      <w:r w:rsidR="00D41CEF" w:rsidRPr="008C0D2E">
        <w:t xml:space="preserve"> pre and post meeting briefings </w:t>
      </w:r>
      <w:r w:rsidR="000E6625" w:rsidRPr="008C0D2E">
        <w:t xml:space="preserve">to ensure </w:t>
      </w:r>
      <w:r w:rsidR="00383187" w:rsidRPr="008C0D2E">
        <w:t>successful participation.</w:t>
      </w:r>
      <w:r w:rsidR="00383187">
        <w:t xml:space="preserve"> </w:t>
      </w:r>
    </w:p>
    <w:p w14:paraId="194DDB0F" w14:textId="77777777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5AD99BD9" w14:textId="45EF03EB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1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191358">
        <w:rPr>
          <w:rStyle w:val="Hyperlink"/>
          <w:b/>
          <w:bCs/>
          <w:color w:val="auto"/>
          <w:u w:val="none"/>
        </w:rPr>
        <w:t>b</w:t>
      </w:r>
      <w:r w:rsidRPr="004268AC">
        <w:rPr>
          <w:rStyle w:val="Hyperlink"/>
          <w:b/>
          <w:bCs/>
          <w:color w:val="auto"/>
        </w:rPr>
        <w:t>y</w:t>
      </w:r>
      <w:r w:rsidR="005E7A83">
        <w:rPr>
          <w:rStyle w:val="Hyperlink"/>
          <w:b/>
          <w:bCs/>
          <w:color w:val="auto"/>
        </w:rPr>
        <w:t xml:space="preserve"> </w:t>
      </w:r>
      <w:r w:rsidR="005E7A83" w:rsidRPr="005E7A83">
        <w:rPr>
          <w:rFonts w:cstheme="minorHAnsi"/>
          <w:b/>
          <w:bCs/>
          <w:u w:val="single"/>
        </w:rPr>
        <w:t>9am, Monday 7 February 2022</w:t>
      </w:r>
    </w:p>
    <w:p w14:paraId="1DB8C74A" w14:textId="012B15D3" w:rsidR="004A2F41" w:rsidRPr="00BC4FE3" w:rsidRDefault="007A67B5" w:rsidP="00BC4FE3">
      <w:r w:rsidRPr="00F274C6">
        <w:t xml:space="preserve">For </w:t>
      </w:r>
      <w:r w:rsidR="00ED091D" w:rsidRPr="00F274C6">
        <w:t>assistance,</w:t>
      </w:r>
      <w:r w:rsidRPr="00F274C6">
        <w:t xml:space="preserve"> please contact Health Consumers Queensland via </w:t>
      </w:r>
      <w:hyperlink r:id="rId12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1A69D7C3" w14:textId="4F969678" w:rsidR="003B51B0" w:rsidRDefault="003B51B0">
      <w:pPr>
        <w:rPr>
          <w:b/>
          <w:sz w:val="32"/>
          <w:szCs w:val="24"/>
        </w:rPr>
      </w:pPr>
    </w:p>
    <w:p w14:paraId="44D78A6D" w14:textId="77777777" w:rsidR="00C23EFD" w:rsidRDefault="00C23EFD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14:paraId="5B85A720" w14:textId="5620D6A6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Consumer Application Form</w:t>
      </w:r>
    </w:p>
    <w:p w14:paraId="31695363" w14:textId="1D395F5B" w:rsidR="00947678" w:rsidRPr="00996C71" w:rsidRDefault="00FF4864" w:rsidP="005D726A">
      <w:pPr>
        <w:jc w:val="center"/>
        <w:rPr>
          <w:b/>
          <w:sz w:val="32"/>
          <w:szCs w:val="24"/>
        </w:rPr>
      </w:pPr>
      <w:r w:rsidRPr="00FF4864">
        <w:rPr>
          <w:b/>
          <w:sz w:val="32"/>
          <w:szCs w:val="24"/>
        </w:rPr>
        <w:t xml:space="preserve">Statewide Services </w:t>
      </w:r>
      <w:r w:rsidR="00BC4FE3" w:rsidRPr="00BC4FE3">
        <w:rPr>
          <w:b/>
          <w:sz w:val="32"/>
          <w:szCs w:val="24"/>
        </w:rPr>
        <w:t>Assessment and Review Pane</w:t>
      </w:r>
      <w:r w:rsidR="00BC4FE3">
        <w:rPr>
          <w:b/>
          <w:sz w:val="32"/>
          <w:szCs w:val="24"/>
        </w:rPr>
        <w:t>l</w:t>
      </w:r>
      <w:r w:rsidR="003E6CFE">
        <w:rPr>
          <w:b/>
          <w:sz w:val="32"/>
          <w:szCs w:val="24"/>
        </w:rPr>
        <w:t xml:space="preserve"> and I</w:t>
      </w:r>
      <w:r w:rsidR="007743D5">
        <w:rPr>
          <w:b/>
          <w:sz w:val="32"/>
          <w:szCs w:val="24"/>
        </w:rPr>
        <w:t xml:space="preserve">mplementation </w:t>
      </w:r>
      <w:r w:rsidR="003E6CFE">
        <w:rPr>
          <w:b/>
          <w:sz w:val="32"/>
          <w:szCs w:val="24"/>
        </w:rPr>
        <w:t>W</w:t>
      </w:r>
      <w:r w:rsidR="007743D5">
        <w:rPr>
          <w:b/>
          <w:sz w:val="32"/>
          <w:szCs w:val="24"/>
        </w:rPr>
        <w:t>orking G</w:t>
      </w:r>
      <w:r w:rsidR="003E6CFE">
        <w:rPr>
          <w:b/>
          <w:sz w:val="32"/>
          <w:szCs w:val="24"/>
        </w:rPr>
        <w:t xml:space="preserve">roup </w:t>
      </w:r>
    </w:p>
    <w:p w14:paraId="30B0D1D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0A6FB70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7ACDFDD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4B8FB03E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626908A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727E99A1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DD8ABF2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7C4969DB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276EFC02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67C69F88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3"/>
          <w:footerReference w:type="default" r:id="rId14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49E31732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27FDBD7F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4C5B6CEE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6EBE59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35895F0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720EA12C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3649FFD5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4FE8691E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22157C77" w14:textId="77777777" w:rsidR="00B75112" w:rsidRDefault="00B75112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0ED31942" w14:textId="6EBD11DF" w:rsidR="00E84FDF" w:rsidRDefault="00A61754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Have a l</w:t>
      </w:r>
      <w:r w:rsidR="00E84FDF">
        <w:rPr>
          <w:rFonts w:asciiTheme="minorHAnsi" w:hAnsiTheme="minorHAnsi" w:cstheme="minorHAnsi"/>
          <w:b w:val="0"/>
          <w:color w:val="auto"/>
          <w:sz w:val="22"/>
        </w:rPr>
        <w:t xml:space="preserve">ived experience or caring for someone </w:t>
      </w:r>
      <w:r w:rsidR="00E16F06">
        <w:rPr>
          <w:rFonts w:asciiTheme="minorHAnsi" w:hAnsiTheme="minorHAnsi" w:cstheme="minorHAnsi"/>
          <w:b w:val="0"/>
          <w:color w:val="auto"/>
          <w:sz w:val="22"/>
        </w:rPr>
        <w:t xml:space="preserve">with a lived experience of accessing </w:t>
      </w:r>
      <w:r w:rsidR="00AD4E83">
        <w:rPr>
          <w:rFonts w:asciiTheme="minorHAnsi" w:hAnsiTheme="minorHAnsi" w:cstheme="minorHAnsi"/>
          <w:b w:val="0"/>
          <w:color w:val="auto"/>
          <w:sz w:val="22"/>
        </w:rPr>
        <w:t xml:space="preserve">Statewide services </w:t>
      </w:r>
    </w:p>
    <w:p w14:paraId="232D7685" w14:textId="047ED58B" w:rsidR="0028584A" w:rsidRDefault="0028584A" w:rsidP="0028584A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 xml:space="preserve">Please tick which opportunity you would like to join (please tick both </w:t>
      </w:r>
      <w:r w:rsidR="00042915">
        <w:rPr>
          <w:rFonts w:asciiTheme="minorHAnsi" w:hAnsiTheme="minorHAnsi" w:cstheme="minorHAnsi"/>
          <w:b w:val="0"/>
          <w:color w:val="auto"/>
          <w:sz w:val="22"/>
        </w:rPr>
        <w:t xml:space="preserve">if applicable) </w:t>
      </w:r>
    </w:p>
    <w:p w14:paraId="5AB3D5A7" w14:textId="2FDF25A6" w:rsidR="0028584A" w:rsidRDefault="005E7A83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75951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4A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042915" w:rsidRPr="00042915">
        <w:t xml:space="preserve"> </w:t>
      </w:r>
      <w:r w:rsidR="00042915" w:rsidRPr="00042915">
        <w:rPr>
          <w:rFonts w:asciiTheme="minorHAnsi" w:hAnsiTheme="minorHAnsi" w:cstheme="minorHAnsi"/>
          <w:b w:val="0"/>
          <w:color w:val="auto"/>
          <w:sz w:val="22"/>
        </w:rPr>
        <w:t>The Statewide Services: Assessment and Review Panel (ARP)</w:t>
      </w:r>
    </w:p>
    <w:p w14:paraId="14517B90" w14:textId="5A28AC3B" w:rsidR="0028584A" w:rsidRPr="00567FA9" w:rsidRDefault="005E7A83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45848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4A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042915" w:rsidRPr="00042915">
        <w:t xml:space="preserve"> </w:t>
      </w:r>
      <w:r w:rsidR="00042915" w:rsidRPr="00042915">
        <w:rPr>
          <w:rFonts w:asciiTheme="minorHAnsi" w:hAnsiTheme="minorHAnsi" w:cstheme="minorHAnsi"/>
          <w:b w:val="0"/>
          <w:color w:val="auto"/>
          <w:sz w:val="22"/>
        </w:rPr>
        <w:t>The Implementation Working Group (IWG)</w:t>
      </w:r>
    </w:p>
    <w:p w14:paraId="2D54AF88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4DEC721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18A04D9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>state</w:t>
      </w:r>
      <w:proofErr w:type="gramEnd"/>
    </w:p>
    <w:p w14:paraId="76E8B3B9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lastRenderedPageBreak/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  <w:proofErr w:type="gramEnd"/>
    </w:p>
    <w:p w14:paraId="5843B791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38E61D27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6EF93516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13CC857A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76779D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D7AE29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1127D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F3D12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6C410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1C82A3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28296021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56599E6A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471F2CD6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1207EFE7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558B2272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55B54BBA" w14:textId="3A30DB4B" w:rsidR="00553171" w:rsidRPr="00567FA9" w:rsidRDefault="003727C7" w:rsidP="00AE1B98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1. 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 w:rsidR="0075352C">
        <w:rPr>
          <w:rFonts w:asciiTheme="minorHAnsi" w:hAnsiTheme="minorHAnsi" w:cstheme="minorHAnsi"/>
          <w:color w:val="auto"/>
          <w:sz w:val="22"/>
        </w:rPr>
        <w:t>describe your experience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etc.</w:t>
      </w:r>
      <w:r w:rsidR="0075352C">
        <w:rPr>
          <w:rFonts w:asciiTheme="minorHAnsi" w:hAnsiTheme="minorHAnsi" w:cstheme="minorHAnsi"/>
          <w:color w:val="auto"/>
          <w:sz w:val="22"/>
        </w:rPr>
        <w:t xml:space="preserve"> </w:t>
      </w:r>
      <w:r w:rsidR="00AE1B98">
        <w:rPr>
          <w:rFonts w:asciiTheme="minorHAnsi" w:hAnsiTheme="minorHAnsi" w:cstheme="minorHAnsi"/>
          <w:color w:val="auto"/>
          <w:sz w:val="22"/>
        </w:rPr>
        <w:t>(</w:t>
      </w:r>
      <w:r w:rsidR="00AE1B98" w:rsidRPr="00AE1B98">
        <w:rPr>
          <w:rFonts w:asciiTheme="minorHAnsi" w:hAnsiTheme="minorHAnsi" w:cstheme="minorHAnsi"/>
          <w:color w:val="auto"/>
          <w:sz w:val="22"/>
        </w:rPr>
        <w:t>please provide name of committee/group</w:t>
      </w:r>
      <w:r w:rsidR="00AE1B98">
        <w:rPr>
          <w:rFonts w:asciiTheme="minorHAnsi" w:hAnsiTheme="minorHAnsi" w:cstheme="minorHAnsi"/>
          <w:color w:val="auto"/>
          <w:sz w:val="22"/>
        </w:rPr>
        <w:t>s</w:t>
      </w:r>
      <w:r w:rsidR="00AE1B98" w:rsidRPr="00AE1B98">
        <w:rPr>
          <w:rFonts w:asciiTheme="minorHAnsi" w:hAnsiTheme="minorHAnsi" w:cstheme="minorHAnsi"/>
          <w:color w:val="auto"/>
          <w:sz w:val="22"/>
        </w:rPr>
        <w:t xml:space="preserve">, </w:t>
      </w:r>
      <w:r w:rsidR="00AE1B98">
        <w:rPr>
          <w:rFonts w:asciiTheme="minorHAnsi" w:hAnsiTheme="minorHAnsi" w:cstheme="minorHAnsi"/>
          <w:color w:val="auto"/>
          <w:sz w:val="22"/>
        </w:rPr>
        <w:t xml:space="preserve">and reduce the use of </w:t>
      </w:r>
      <w:r w:rsidR="00AE1B98" w:rsidRPr="00AE1B98">
        <w:rPr>
          <w:rFonts w:asciiTheme="minorHAnsi" w:hAnsiTheme="minorHAnsi" w:cstheme="minorHAnsi"/>
          <w:color w:val="auto"/>
          <w:sz w:val="22"/>
        </w:rPr>
        <w:t>acronyms)</w:t>
      </w:r>
    </w:p>
    <w:p w14:paraId="2726F005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1BD2B44E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7D5BC88F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52A06F1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78592217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0E7DC4B2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09EF895B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45750D5F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368EE0E3" w14:textId="3CF8BBCE" w:rsidR="008012D5" w:rsidRPr="00480614" w:rsidRDefault="003727C7" w:rsidP="003727C7">
      <w:pPr>
        <w:pStyle w:val="TableParagraph"/>
        <w:rPr>
          <w:rFonts w:asciiTheme="minorHAnsi" w:hAnsiTheme="minorHAnsi" w:cstheme="minorHAnsi"/>
          <w:b/>
          <w:i/>
          <w:color w:val="808080" w:themeColor="background1" w:themeShade="80"/>
        </w:rPr>
      </w:pPr>
      <w:r>
        <w:rPr>
          <w:b/>
        </w:rPr>
        <w:t xml:space="preserve">2. </w:t>
      </w:r>
      <w:r w:rsidR="00AF4875" w:rsidRPr="00AF4875">
        <w:rPr>
          <w:b/>
        </w:rPr>
        <w:t>Please describe any connections you have to your community (</w:t>
      </w:r>
      <w:proofErr w:type="gramStart"/>
      <w:r w:rsidR="00AF4875" w:rsidRPr="00AF4875">
        <w:rPr>
          <w:b/>
        </w:rPr>
        <w:t>e.g.</w:t>
      </w:r>
      <w:proofErr w:type="gramEnd"/>
      <w:r w:rsidR="00AF4875" w:rsidRPr="00AF4875">
        <w:rPr>
          <w:b/>
        </w:rPr>
        <w:t xml:space="preserve"> networks, groups)</w:t>
      </w:r>
      <w:r w:rsidR="00AF4875"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2256231B" w14:textId="77777777" w:rsidR="008012D5" w:rsidRPr="00567FA9" w:rsidRDefault="008012D5" w:rsidP="00553171">
      <w:pPr>
        <w:pStyle w:val="TableParagraph"/>
        <w:spacing w:before="118"/>
      </w:pPr>
    </w:p>
    <w:p w14:paraId="5D8D96F4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1BE4E7CF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7AF80C2D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BCD7636" w14:textId="21156250" w:rsidR="00E84FDF" w:rsidRDefault="005B2085" w:rsidP="00E84FDF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3. </w:t>
      </w:r>
      <w:r w:rsidR="00E82D04" w:rsidRPr="00316880">
        <w:rPr>
          <w:rFonts w:asciiTheme="minorHAnsi" w:hAnsiTheme="minorHAnsi" w:cstheme="minorHAnsi"/>
          <w:color w:val="auto"/>
          <w:sz w:val="22"/>
        </w:rPr>
        <w:t xml:space="preserve">Please describe your interest in </w:t>
      </w:r>
      <w:r w:rsidR="00316880" w:rsidRPr="00316880">
        <w:rPr>
          <w:rFonts w:asciiTheme="minorHAnsi" w:hAnsiTheme="minorHAnsi" w:cstheme="minorHAnsi"/>
          <w:color w:val="auto"/>
          <w:sz w:val="22"/>
        </w:rPr>
        <w:t>joining the</w:t>
      </w:r>
      <w:r w:rsidR="00F51B46">
        <w:rPr>
          <w:rFonts w:asciiTheme="minorHAnsi" w:hAnsiTheme="minorHAnsi" w:cstheme="minorHAnsi"/>
          <w:color w:val="auto"/>
          <w:sz w:val="22"/>
        </w:rPr>
        <w:t xml:space="preserve"> Statewide Services opportunities</w:t>
      </w:r>
      <w:r w:rsidR="00480614" w:rsidRPr="00316880">
        <w:rPr>
          <w:rFonts w:asciiTheme="minorHAnsi" w:hAnsiTheme="minorHAnsi" w:cstheme="minorHAnsi"/>
          <w:color w:val="auto"/>
          <w:sz w:val="22"/>
        </w:rPr>
        <w:t xml:space="preserve">? </w:t>
      </w:r>
      <w:r w:rsidR="00E84FDF" w:rsidRPr="00E84FDF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Although this section usually requires the longest response, try to keep it concise. Things to consider focusing on here include: any past lived experience that shows your understanding of the topic, or your understanding of </w:t>
      </w:r>
      <w:r w:rsidR="00E84FDF" w:rsidRPr="00E84FDF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lastRenderedPageBreak/>
        <w:t xml:space="preserve">the social/health/economic implications of the topic/condition, or any systems change that you have identified that will improve care for health consumers, and possible strategies you could share to affect that change.  </w:t>
      </w:r>
    </w:p>
    <w:p w14:paraId="6DE26EBC" w14:textId="77777777" w:rsidR="005B2085" w:rsidRDefault="005B2085" w:rsidP="00E84FDF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D78671C" w14:textId="77777777" w:rsidR="005B2085" w:rsidRPr="00567FA9" w:rsidRDefault="005B2085" w:rsidP="00E84FDF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0460DC0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79FDD377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</w:t>
      </w:r>
      <w:proofErr w:type="gramStart"/>
      <w:r w:rsidRPr="00567FA9">
        <w:rPr>
          <w:rFonts w:asciiTheme="minorHAnsi" w:hAnsiTheme="minorHAnsi" w:cstheme="minorHAnsi"/>
          <w:color w:val="auto"/>
          <w:sz w:val="22"/>
        </w:rPr>
        <w:t>we</w:t>
      </w:r>
      <w:proofErr w:type="gramEnd"/>
      <w:r w:rsidRPr="00567FA9">
        <w:rPr>
          <w:rFonts w:asciiTheme="minorHAnsi" w:hAnsiTheme="minorHAnsi" w:cstheme="minorHAnsi"/>
          <w:color w:val="auto"/>
          <w:sz w:val="22"/>
        </w:rPr>
        <w:t xml:space="preserve"> will advise if you are shortlisted before we contact your referee).</w:t>
      </w:r>
    </w:p>
    <w:p w14:paraId="19A67864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2265470F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2263BCCE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674EE0B5" w14:textId="636C8B35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gramStart"/>
      <w:r w:rsidR="00030823" w:rsidRPr="00567FA9">
        <w:rPr>
          <w:rFonts w:asciiTheme="minorHAnsi" w:hAnsiTheme="minorHAnsi" w:cstheme="minorHAnsi"/>
          <w:b w:val="0"/>
          <w:color w:val="auto"/>
          <w:sz w:val="22"/>
        </w:rPr>
        <w:t>e.g.</w:t>
      </w:r>
      <w:proofErr w:type="gram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Committee Chair):</w:t>
      </w:r>
    </w:p>
    <w:p w14:paraId="580F709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635F6630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5DE019A6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7944E9D1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0B39" w14:textId="77777777" w:rsidR="00444F1A" w:rsidRDefault="00444F1A" w:rsidP="007B1118">
      <w:pPr>
        <w:spacing w:after="0" w:line="240" w:lineRule="auto"/>
      </w:pPr>
      <w:r>
        <w:separator/>
      </w:r>
    </w:p>
  </w:endnote>
  <w:endnote w:type="continuationSeparator" w:id="0">
    <w:p w14:paraId="33B0BB50" w14:textId="77777777" w:rsidR="00444F1A" w:rsidRDefault="00444F1A" w:rsidP="007B1118">
      <w:pPr>
        <w:spacing w:after="0" w:line="240" w:lineRule="auto"/>
      </w:pPr>
      <w:r>
        <w:continuationSeparator/>
      </w:r>
    </w:p>
  </w:endnote>
  <w:endnote w:type="continuationNotice" w:id="1">
    <w:p w14:paraId="3560FC65" w14:textId="77777777" w:rsidR="00444F1A" w:rsidRDefault="00444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AA4B4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D8BCB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0C1B" w14:textId="77777777" w:rsidR="00444F1A" w:rsidRDefault="00444F1A" w:rsidP="007B1118">
      <w:pPr>
        <w:spacing w:after="0" w:line="240" w:lineRule="auto"/>
      </w:pPr>
      <w:r>
        <w:separator/>
      </w:r>
    </w:p>
  </w:footnote>
  <w:footnote w:type="continuationSeparator" w:id="0">
    <w:p w14:paraId="2D50916B" w14:textId="77777777" w:rsidR="00444F1A" w:rsidRDefault="00444F1A" w:rsidP="007B1118">
      <w:pPr>
        <w:spacing w:after="0" w:line="240" w:lineRule="auto"/>
      </w:pPr>
      <w:r>
        <w:continuationSeparator/>
      </w:r>
    </w:p>
  </w:footnote>
  <w:footnote w:type="continuationNotice" w:id="1">
    <w:p w14:paraId="7BAC545B" w14:textId="77777777" w:rsidR="00444F1A" w:rsidRDefault="00444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1E4276A2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05BF7D9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2C71D01B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6CDD7B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51D9E139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2EA21BD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1C13535D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4E3F6B9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254973ED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3F66A498" wp14:editId="5FC52F23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DF115F4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687D032D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E9B"/>
    <w:multiLevelType w:val="hybridMultilevel"/>
    <w:tmpl w:val="25684AB6"/>
    <w:lvl w:ilvl="0" w:tplc="601CB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5A77EFB"/>
    <w:multiLevelType w:val="hybridMultilevel"/>
    <w:tmpl w:val="682CEC06"/>
    <w:lvl w:ilvl="0" w:tplc="601CB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7C5"/>
    <w:multiLevelType w:val="hybridMultilevel"/>
    <w:tmpl w:val="F5D2266C"/>
    <w:lvl w:ilvl="0" w:tplc="7A7E99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8" w15:restartNumberingAfterBreak="0">
    <w:nsid w:val="41AD4035"/>
    <w:multiLevelType w:val="hybridMultilevel"/>
    <w:tmpl w:val="D506D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4328"/>
    <w:multiLevelType w:val="multilevel"/>
    <w:tmpl w:val="C2FE460C"/>
    <w:numStyleLink w:val="Bullets"/>
  </w:abstractNum>
  <w:abstractNum w:abstractNumId="10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62772"/>
    <w:multiLevelType w:val="hybridMultilevel"/>
    <w:tmpl w:val="72EE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72766"/>
    <w:multiLevelType w:val="hybridMultilevel"/>
    <w:tmpl w:val="7E8C5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2259F"/>
    <w:multiLevelType w:val="hybridMultilevel"/>
    <w:tmpl w:val="F704D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A5F2C"/>
    <w:multiLevelType w:val="hybridMultilevel"/>
    <w:tmpl w:val="E3FAA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0"/>
  </w:num>
  <w:num w:numId="5">
    <w:abstractNumId w:val="18"/>
  </w:num>
  <w:num w:numId="6">
    <w:abstractNumId w:val="11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2397E"/>
    <w:rsid w:val="00030823"/>
    <w:rsid w:val="00035525"/>
    <w:rsid w:val="00042915"/>
    <w:rsid w:val="000504A0"/>
    <w:rsid w:val="00063449"/>
    <w:rsid w:val="00067FDB"/>
    <w:rsid w:val="00071B9A"/>
    <w:rsid w:val="00085B21"/>
    <w:rsid w:val="00092363"/>
    <w:rsid w:val="000A1C45"/>
    <w:rsid w:val="000A591A"/>
    <w:rsid w:val="000A6D5A"/>
    <w:rsid w:val="000C6561"/>
    <w:rsid w:val="000D2AA4"/>
    <w:rsid w:val="000D568E"/>
    <w:rsid w:val="000E6625"/>
    <w:rsid w:val="000F75ED"/>
    <w:rsid w:val="00103332"/>
    <w:rsid w:val="00105541"/>
    <w:rsid w:val="0011708E"/>
    <w:rsid w:val="00156463"/>
    <w:rsid w:val="00162062"/>
    <w:rsid w:val="00191358"/>
    <w:rsid w:val="0019397A"/>
    <w:rsid w:val="001A491C"/>
    <w:rsid w:val="001F7E4E"/>
    <w:rsid w:val="00203775"/>
    <w:rsid w:val="002373E2"/>
    <w:rsid w:val="00254C9E"/>
    <w:rsid w:val="00277FCB"/>
    <w:rsid w:val="0028584A"/>
    <w:rsid w:val="002B491C"/>
    <w:rsid w:val="00316880"/>
    <w:rsid w:val="00341D41"/>
    <w:rsid w:val="0034285D"/>
    <w:rsid w:val="003727C7"/>
    <w:rsid w:val="00383187"/>
    <w:rsid w:val="003A3F5F"/>
    <w:rsid w:val="003B51B0"/>
    <w:rsid w:val="003B72ED"/>
    <w:rsid w:val="003C7EF5"/>
    <w:rsid w:val="003D00E8"/>
    <w:rsid w:val="003D436A"/>
    <w:rsid w:val="003E6CFE"/>
    <w:rsid w:val="003F4436"/>
    <w:rsid w:val="004268AC"/>
    <w:rsid w:val="0043362A"/>
    <w:rsid w:val="00433AA7"/>
    <w:rsid w:val="00441807"/>
    <w:rsid w:val="00444F1A"/>
    <w:rsid w:val="00470534"/>
    <w:rsid w:val="00475D15"/>
    <w:rsid w:val="00480614"/>
    <w:rsid w:val="00482355"/>
    <w:rsid w:val="00492FE9"/>
    <w:rsid w:val="00493227"/>
    <w:rsid w:val="004A2F41"/>
    <w:rsid w:val="004A3790"/>
    <w:rsid w:val="004A736D"/>
    <w:rsid w:val="004A7DE4"/>
    <w:rsid w:val="004B3FC0"/>
    <w:rsid w:val="004C2ECD"/>
    <w:rsid w:val="004C785B"/>
    <w:rsid w:val="004F2068"/>
    <w:rsid w:val="00512323"/>
    <w:rsid w:val="00512328"/>
    <w:rsid w:val="00525CBB"/>
    <w:rsid w:val="0052659D"/>
    <w:rsid w:val="00537C4D"/>
    <w:rsid w:val="00544C15"/>
    <w:rsid w:val="00553171"/>
    <w:rsid w:val="0056104B"/>
    <w:rsid w:val="00564928"/>
    <w:rsid w:val="00564F41"/>
    <w:rsid w:val="00567FA9"/>
    <w:rsid w:val="0057677D"/>
    <w:rsid w:val="00584C99"/>
    <w:rsid w:val="00585F48"/>
    <w:rsid w:val="005A02F0"/>
    <w:rsid w:val="005A08BE"/>
    <w:rsid w:val="005B2085"/>
    <w:rsid w:val="005B2BF2"/>
    <w:rsid w:val="005B42FD"/>
    <w:rsid w:val="005C4AEA"/>
    <w:rsid w:val="005C728F"/>
    <w:rsid w:val="005D018B"/>
    <w:rsid w:val="005D726A"/>
    <w:rsid w:val="005E1131"/>
    <w:rsid w:val="005E7A83"/>
    <w:rsid w:val="00631504"/>
    <w:rsid w:val="006405D1"/>
    <w:rsid w:val="006464E6"/>
    <w:rsid w:val="006552E1"/>
    <w:rsid w:val="00670EFE"/>
    <w:rsid w:val="00681C93"/>
    <w:rsid w:val="006931E5"/>
    <w:rsid w:val="006E014D"/>
    <w:rsid w:val="00715183"/>
    <w:rsid w:val="00732590"/>
    <w:rsid w:val="007422BB"/>
    <w:rsid w:val="007447F8"/>
    <w:rsid w:val="00752F3E"/>
    <w:rsid w:val="0075352C"/>
    <w:rsid w:val="00754B1F"/>
    <w:rsid w:val="0076376D"/>
    <w:rsid w:val="007743D5"/>
    <w:rsid w:val="00793F1B"/>
    <w:rsid w:val="00797030"/>
    <w:rsid w:val="007A3614"/>
    <w:rsid w:val="007A67B5"/>
    <w:rsid w:val="007B1118"/>
    <w:rsid w:val="007B248A"/>
    <w:rsid w:val="007B7AC0"/>
    <w:rsid w:val="007C2835"/>
    <w:rsid w:val="007C63ED"/>
    <w:rsid w:val="007E2D3C"/>
    <w:rsid w:val="008012D5"/>
    <w:rsid w:val="00801905"/>
    <w:rsid w:val="00810295"/>
    <w:rsid w:val="00813463"/>
    <w:rsid w:val="00840B61"/>
    <w:rsid w:val="00842E06"/>
    <w:rsid w:val="00863A65"/>
    <w:rsid w:val="008711A0"/>
    <w:rsid w:val="008A0C9F"/>
    <w:rsid w:val="008A2942"/>
    <w:rsid w:val="008A3696"/>
    <w:rsid w:val="008A7949"/>
    <w:rsid w:val="008C0D2E"/>
    <w:rsid w:val="008C3230"/>
    <w:rsid w:val="008D43CA"/>
    <w:rsid w:val="0092316E"/>
    <w:rsid w:val="00935CAB"/>
    <w:rsid w:val="00947678"/>
    <w:rsid w:val="00953EBE"/>
    <w:rsid w:val="0095612C"/>
    <w:rsid w:val="00962A52"/>
    <w:rsid w:val="00965B3E"/>
    <w:rsid w:val="009700E7"/>
    <w:rsid w:val="00973BE2"/>
    <w:rsid w:val="00980214"/>
    <w:rsid w:val="00996C71"/>
    <w:rsid w:val="009B3A0F"/>
    <w:rsid w:val="009C573E"/>
    <w:rsid w:val="009D66F5"/>
    <w:rsid w:val="00A30038"/>
    <w:rsid w:val="00A3737E"/>
    <w:rsid w:val="00A61754"/>
    <w:rsid w:val="00A666D1"/>
    <w:rsid w:val="00A81131"/>
    <w:rsid w:val="00A83487"/>
    <w:rsid w:val="00A86BC8"/>
    <w:rsid w:val="00AA04A3"/>
    <w:rsid w:val="00AB477C"/>
    <w:rsid w:val="00AD4E83"/>
    <w:rsid w:val="00AD5F28"/>
    <w:rsid w:val="00AD7DF8"/>
    <w:rsid w:val="00AE1B98"/>
    <w:rsid w:val="00AF372D"/>
    <w:rsid w:val="00AF42DA"/>
    <w:rsid w:val="00AF4875"/>
    <w:rsid w:val="00AF6A6F"/>
    <w:rsid w:val="00B01FEF"/>
    <w:rsid w:val="00B023E4"/>
    <w:rsid w:val="00B078DE"/>
    <w:rsid w:val="00B6205A"/>
    <w:rsid w:val="00B75112"/>
    <w:rsid w:val="00B85A22"/>
    <w:rsid w:val="00B91130"/>
    <w:rsid w:val="00BA0C4A"/>
    <w:rsid w:val="00BB1D70"/>
    <w:rsid w:val="00BC380C"/>
    <w:rsid w:val="00BC4847"/>
    <w:rsid w:val="00BC4FE3"/>
    <w:rsid w:val="00BC5B28"/>
    <w:rsid w:val="00BD2851"/>
    <w:rsid w:val="00BD53ED"/>
    <w:rsid w:val="00BE466E"/>
    <w:rsid w:val="00BE64FB"/>
    <w:rsid w:val="00C23EFD"/>
    <w:rsid w:val="00C35C82"/>
    <w:rsid w:val="00C418D7"/>
    <w:rsid w:val="00C4616B"/>
    <w:rsid w:val="00C532E7"/>
    <w:rsid w:val="00C5388F"/>
    <w:rsid w:val="00C804F6"/>
    <w:rsid w:val="00C824DC"/>
    <w:rsid w:val="00C84889"/>
    <w:rsid w:val="00C849C3"/>
    <w:rsid w:val="00C859A5"/>
    <w:rsid w:val="00C95682"/>
    <w:rsid w:val="00CC1FF5"/>
    <w:rsid w:val="00CC439E"/>
    <w:rsid w:val="00CF307C"/>
    <w:rsid w:val="00D0322A"/>
    <w:rsid w:val="00D310EF"/>
    <w:rsid w:val="00D366C3"/>
    <w:rsid w:val="00D366F9"/>
    <w:rsid w:val="00D41CEF"/>
    <w:rsid w:val="00D6609A"/>
    <w:rsid w:val="00D7586C"/>
    <w:rsid w:val="00D75B3A"/>
    <w:rsid w:val="00D97EAB"/>
    <w:rsid w:val="00DB3A31"/>
    <w:rsid w:val="00DB46C4"/>
    <w:rsid w:val="00DB4A9F"/>
    <w:rsid w:val="00DC0A9C"/>
    <w:rsid w:val="00DC278D"/>
    <w:rsid w:val="00DE19E4"/>
    <w:rsid w:val="00DF1572"/>
    <w:rsid w:val="00E02324"/>
    <w:rsid w:val="00E04855"/>
    <w:rsid w:val="00E16F06"/>
    <w:rsid w:val="00E3467E"/>
    <w:rsid w:val="00E46B7D"/>
    <w:rsid w:val="00E56F58"/>
    <w:rsid w:val="00E71D14"/>
    <w:rsid w:val="00E82D04"/>
    <w:rsid w:val="00E84FDF"/>
    <w:rsid w:val="00EB20EB"/>
    <w:rsid w:val="00ED091D"/>
    <w:rsid w:val="00EE4127"/>
    <w:rsid w:val="00F24C61"/>
    <w:rsid w:val="00F33C39"/>
    <w:rsid w:val="00F51B46"/>
    <w:rsid w:val="00F56AC5"/>
    <w:rsid w:val="00FC393B"/>
    <w:rsid w:val="00FD0A44"/>
    <w:rsid w:val="00FD57CA"/>
    <w:rsid w:val="00FD79D2"/>
    <w:rsid w:val="00FE4A4C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D9B49"/>
  <w15:chartTrackingRefBased/>
  <w15:docId w15:val="{F74BAB67-8303-4FD7-B958-BC60BC57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328"/>
    <w:rPr>
      <w:color w:val="605E5C"/>
      <w:shd w:val="clear" w:color="auto" w:fill="E1DFDD"/>
    </w:rPr>
  </w:style>
  <w:style w:type="paragraph" w:customStyle="1" w:styleId="BodyText2Column">
    <w:name w:val="Body Text 2 Column"/>
    <w:basedOn w:val="BodyText"/>
    <w:uiPriority w:val="99"/>
    <w:qFormat/>
    <w:rsid w:val="00512328"/>
    <w:pPr>
      <w:widowControl/>
      <w:spacing w:before="120" w:after="120" w:line="276" w:lineRule="auto"/>
      <w:ind w:left="0" w:right="0"/>
      <w:textboxTightWrap w:val="allLines"/>
    </w:pPr>
    <w:rPr>
      <w:rFonts w:ascii="Fira Sans" w:eastAsiaTheme="minorHAnsi" w:hAnsi="Fira Sans" w:cstheme="minorBidi"/>
      <w:color w:val="3B3838" w:themeColor="background2" w:themeShade="40"/>
      <w:kern w:val="19"/>
      <w:sz w:val="19"/>
      <w:szCs w:val="21"/>
      <w:lang w:val="en-AU"/>
      <w14:numSpacing w14:val="proportional"/>
    </w:rPr>
  </w:style>
  <w:style w:type="paragraph" w:customStyle="1" w:styleId="NumberedList2Column">
    <w:name w:val="Numbered List 2 Column"/>
    <w:uiPriority w:val="21"/>
    <w:qFormat/>
    <w:rsid w:val="00512328"/>
    <w:pPr>
      <w:numPr>
        <w:numId w:val="9"/>
      </w:numPr>
      <w:spacing w:after="0" w:line="276" w:lineRule="auto"/>
    </w:pPr>
    <w:rPr>
      <w:rFonts w:ascii="Fira Sans" w:eastAsia="Times New Roman" w:hAnsi="Fira Sans" w:cs="Times New Roman"/>
      <w:color w:val="404040" w:themeColor="text1" w:themeTint="BF"/>
      <w:kern w:val="19"/>
      <w:sz w:val="19"/>
      <w:szCs w:val="20"/>
      <w14:numSpacing w14:val="proportional"/>
    </w:rPr>
  </w:style>
  <w:style w:type="paragraph" w:styleId="ListBullet">
    <w:name w:val="List Bullet"/>
    <w:aliases w:val="Bulleted List"/>
    <w:basedOn w:val="BodyText"/>
    <w:uiPriority w:val="18"/>
    <w:qFormat/>
    <w:rsid w:val="00512328"/>
    <w:pPr>
      <w:widowControl/>
      <w:numPr>
        <w:numId w:val="11"/>
      </w:numPr>
      <w:spacing w:after="60" w:line="276" w:lineRule="auto"/>
      <w:ind w:right="0"/>
      <w:textboxTightWrap w:val="allLines"/>
    </w:pPr>
    <w:rPr>
      <w:rFonts w:ascii="Fira Sans" w:eastAsiaTheme="minorHAnsi" w:hAnsi="Fira Sans" w:cstheme="minorBidi"/>
      <w:color w:val="3B3838" w:themeColor="background2" w:themeShade="40"/>
      <w:kern w:val="21"/>
      <w:sz w:val="21"/>
      <w:lang w:val="en-AU" w:eastAsia="en-AU"/>
      <w14:numSpacing w14:val="proportional"/>
    </w:rPr>
  </w:style>
  <w:style w:type="numbering" w:customStyle="1" w:styleId="Bullets">
    <w:name w:val="Bullets"/>
    <w:uiPriority w:val="99"/>
    <w:rsid w:val="00512328"/>
    <w:pPr>
      <w:numPr>
        <w:numId w:val="10"/>
      </w:numPr>
    </w:pPr>
  </w:style>
  <w:style w:type="paragraph" w:customStyle="1" w:styleId="BulletList2Column">
    <w:name w:val="Bullet List 2 Column"/>
    <w:basedOn w:val="ListBullet"/>
    <w:uiPriority w:val="19"/>
    <w:qFormat/>
    <w:rsid w:val="00512328"/>
    <w:rPr>
      <w:kern w:val="19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C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0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mer@hcq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mer@hcq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cq.org.au/wp-content/uploads/2015/12/Consumer-Remuneration-Rates-Dec-20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3" ma:contentTypeDescription="Create a new document." ma:contentTypeScope="" ma:versionID="7a0abe28d39aa2810b432909af117011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e6e2ec4a12ea342dd4e1491f262b147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C2FFF-3EAA-46E2-A2E7-17E5B9FA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9</cp:revision>
  <cp:lastPrinted>2021-12-12T23:49:00Z</cp:lastPrinted>
  <dcterms:created xsi:type="dcterms:W3CDTF">2021-12-15T03:25:00Z</dcterms:created>
  <dcterms:modified xsi:type="dcterms:W3CDTF">2022-02-01T06:27:00Z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